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b/>
          <w:color w:val="auto"/>
          <w:sz w:val="24"/>
          <w:szCs w:val="24"/>
        </w:rPr>
      </w:pPr>
      <w:bookmarkStart w:id="0" w:name="_Toc24112_WPSOffice_Level1"/>
      <w:r>
        <w:rPr>
          <w:rFonts w:hint="eastAsia" w:ascii="宋体" w:hAnsi="宋体"/>
          <w:b/>
          <w:color w:val="auto"/>
          <w:sz w:val="22"/>
        </w:rPr>
        <w:t>附件(三）</w:t>
      </w:r>
      <w:r>
        <w:rPr>
          <w:rFonts w:hint="eastAsia" w:ascii="宋体" w:hAnsi="宋体"/>
          <w:b/>
          <w:color w:val="auto"/>
          <w:sz w:val="24"/>
          <w:szCs w:val="24"/>
        </w:rPr>
        <w:t>：</w:t>
      </w:r>
      <w:bookmarkEnd w:id="0"/>
    </w:p>
    <w:p>
      <w:pPr>
        <w:spacing w:line="360" w:lineRule="auto"/>
        <w:jc w:val="center"/>
        <w:outlineLvl w:val="1"/>
        <w:rPr>
          <w:b/>
          <w:color w:val="auto"/>
          <w:sz w:val="32"/>
          <w:szCs w:val="24"/>
        </w:rPr>
      </w:pPr>
      <w:bookmarkStart w:id="1" w:name="_Toc2507_WPSOffice_Level2"/>
      <w:bookmarkStart w:id="2" w:name="_Toc419880496"/>
      <w:bookmarkStart w:id="14" w:name="_GoBack"/>
      <w:r>
        <w:rPr>
          <w:rFonts w:hint="eastAsia"/>
          <w:b/>
          <w:color w:val="auto"/>
          <w:sz w:val="32"/>
          <w:szCs w:val="24"/>
        </w:rPr>
        <w:t>南通国际会展</w:t>
      </w:r>
      <w:r>
        <w:rPr>
          <w:b/>
          <w:color w:val="auto"/>
          <w:sz w:val="32"/>
          <w:szCs w:val="24"/>
        </w:rPr>
        <w:t>中心施工</w:t>
      </w:r>
      <w:r>
        <w:rPr>
          <w:rFonts w:hint="eastAsia"/>
          <w:b/>
          <w:color w:val="auto"/>
          <w:sz w:val="32"/>
          <w:szCs w:val="24"/>
        </w:rPr>
        <w:t>安全规定</w:t>
      </w:r>
      <w:bookmarkEnd w:id="1"/>
    </w:p>
    <w:bookmarkEnd w:id="14"/>
    <w:p>
      <w:pPr>
        <w:pStyle w:val="5"/>
        <w:adjustRightIn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根据国家有关法律法规以及《江苏省大型群众性活动安全管理条例》的规定，南通国际会展中心作为大型会议展览场馆，有义务履行法律赋予的安全管理职责，全面维护场馆各类设备设施的安全责任。为了贯彻落实江苏省南通市政府及各级组织对于安全生产管理的要求，结合会展行业施工搭建活动的特点，以及施工过程中各展台的搭建材料、施工工艺、搭建进度均有不同，且各工种相互交叉作业的复杂情况，为规范施工现场秩序，消灭各种安全隐患杜绝安全事故，特制定《南通国际会展中心施工安全规定》，并将场馆内施工过程中的各项安全规定予以通告，望各施工单位在施工过程中严格遵守执行，杜绝一切安全事故发生。</w:t>
      </w:r>
    </w:p>
    <w:p>
      <w:pPr>
        <w:pStyle w:val="5"/>
        <w:adjustRightInd w:val="0"/>
        <w:spacing w:line="360" w:lineRule="auto"/>
        <w:ind w:firstLine="480" w:firstLineChars="200"/>
        <w:rPr>
          <w:rFonts w:hint="eastAsia" w:ascii="宋体" w:hAnsi="宋体" w:cs="宋体"/>
          <w:color w:val="auto"/>
          <w:sz w:val="24"/>
          <w:szCs w:val="24"/>
        </w:rPr>
      </w:pPr>
    </w:p>
    <w:p>
      <w:pPr>
        <w:pStyle w:val="5"/>
        <w:numPr>
          <w:ilvl w:val="0"/>
          <w:numId w:val="1"/>
        </w:numPr>
        <w:spacing w:line="360" w:lineRule="auto"/>
        <w:ind w:left="357" w:hanging="357"/>
        <w:jc w:val="left"/>
        <w:outlineLvl w:val="0"/>
        <w:rPr>
          <w:rFonts w:hint="eastAsia" w:ascii="宋体" w:hAnsi="宋体" w:cs="宋体"/>
          <w:b/>
          <w:color w:val="auto"/>
          <w:sz w:val="24"/>
          <w:szCs w:val="24"/>
        </w:rPr>
      </w:pPr>
      <w:bookmarkStart w:id="3" w:name="_Toc9763_WPSOffice_Level1"/>
      <w:r>
        <w:rPr>
          <w:rFonts w:hint="eastAsia" w:ascii="宋体" w:hAnsi="宋体" w:cs="宋体"/>
          <w:b/>
          <w:color w:val="auto"/>
          <w:sz w:val="24"/>
          <w:szCs w:val="24"/>
        </w:rPr>
        <w:t>主场施工安全管理职责</w:t>
      </w:r>
      <w:bookmarkEnd w:id="3"/>
    </w:p>
    <w:p>
      <w:pPr>
        <w:pStyle w:val="5"/>
        <w:numPr>
          <w:ilvl w:val="0"/>
          <w:numId w:val="2"/>
        </w:numPr>
        <w:spacing w:line="360" w:lineRule="auto"/>
        <w:rPr>
          <w:rFonts w:hint="eastAsia" w:ascii="宋体" w:hAnsi="宋体" w:cs="宋体"/>
          <w:color w:val="auto"/>
          <w:sz w:val="24"/>
          <w:szCs w:val="24"/>
        </w:rPr>
      </w:pPr>
      <w:r>
        <w:rPr>
          <w:rFonts w:hint="eastAsia" w:ascii="宋体" w:hAnsi="宋体" w:cs="宋体"/>
          <w:color w:val="auto"/>
          <w:sz w:val="24"/>
          <w:szCs w:val="24"/>
        </w:rPr>
        <w:t>组织机构健全，人员配备齐全（一岗双责）。</w:t>
      </w:r>
    </w:p>
    <w:p>
      <w:pPr>
        <w:pStyle w:val="5"/>
        <w:numPr>
          <w:ilvl w:val="0"/>
          <w:numId w:val="2"/>
        </w:numPr>
        <w:spacing w:line="360" w:lineRule="auto"/>
        <w:rPr>
          <w:rFonts w:hint="eastAsia" w:ascii="宋体" w:hAnsi="宋体" w:cs="宋体"/>
          <w:color w:val="auto"/>
          <w:sz w:val="24"/>
          <w:szCs w:val="24"/>
        </w:rPr>
      </w:pPr>
      <w:r>
        <w:rPr>
          <w:rFonts w:hint="eastAsia" w:ascii="宋体" w:hAnsi="宋体" w:cs="宋体"/>
          <w:color w:val="auto"/>
          <w:sz w:val="24"/>
          <w:szCs w:val="24"/>
        </w:rPr>
        <w:t>必须按照5000</w:t>
      </w:r>
      <w:r>
        <w:rPr>
          <w:rFonts w:hint="eastAsia" w:ascii="宋体" w:hAnsi="宋体" w:cs="宋体"/>
          <w:color w:val="auto"/>
          <w:sz w:val="24"/>
          <w:szCs w:val="24"/>
          <w:lang w:val="en-US" w:eastAsia="zh-CN"/>
        </w:rPr>
        <w:t>㎡</w:t>
      </w:r>
      <w:r>
        <w:rPr>
          <w:rFonts w:hint="eastAsia" w:ascii="宋体" w:hAnsi="宋体" w:cs="宋体"/>
          <w:color w:val="auto"/>
          <w:sz w:val="24"/>
          <w:szCs w:val="24"/>
        </w:rPr>
        <w:t>不少于2人配备专职安全员并配带红袖标，巡视检查安全工作。</w:t>
      </w:r>
    </w:p>
    <w:p>
      <w:pPr>
        <w:pStyle w:val="5"/>
        <w:numPr>
          <w:ilvl w:val="0"/>
          <w:numId w:val="2"/>
        </w:numPr>
        <w:spacing w:line="360" w:lineRule="auto"/>
        <w:rPr>
          <w:rFonts w:hint="eastAsia" w:ascii="宋体" w:hAnsi="宋体" w:cs="宋体"/>
          <w:color w:val="auto"/>
          <w:sz w:val="24"/>
          <w:szCs w:val="24"/>
        </w:rPr>
      </w:pPr>
      <w:r>
        <w:rPr>
          <w:rFonts w:hint="eastAsia" w:ascii="宋体" w:hAnsi="宋体" w:cs="宋体"/>
          <w:color w:val="auto"/>
          <w:sz w:val="24"/>
          <w:szCs w:val="24"/>
        </w:rPr>
        <w:t>安排专人对货场货物装卸工作进行监督管理，确保文明、安全、有序装卸货物。</w:t>
      </w:r>
    </w:p>
    <w:p>
      <w:pPr>
        <w:pStyle w:val="5"/>
        <w:numPr>
          <w:ilvl w:val="0"/>
          <w:numId w:val="2"/>
        </w:numPr>
        <w:spacing w:line="360" w:lineRule="auto"/>
        <w:rPr>
          <w:rFonts w:hint="eastAsia" w:ascii="宋体" w:hAnsi="宋体" w:cs="宋体"/>
          <w:color w:val="auto"/>
          <w:sz w:val="24"/>
          <w:szCs w:val="24"/>
        </w:rPr>
      </w:pPr>
      <w:r>
        <w:rPr>
          <w:rFonts w:hint="eastAsia" w:ascii="宋体" w:hAnsi="宋体" w:cs="宋体"/>
          <w:color w:val="auto"/>
          <w:sz w:val="24"/>
          <w:szCs w:val="24"/>
        </w:rPr>
        <w:t>负责对搭建期间施工人员不带安全帽、</w:t>
      </w:r>
      <w:r>
        <w:rPr>
          <w:rFonts w:ascii="宋体" w:hAnsi="宋体" w:cs="宋体"/>
          <w:color w:val="auto"/>
          <w:sz w:val="24"/>
          <w:szCs w:val="24"/>
        </w:rPr>
        <w:t>2</w:t>
      </w:r>
      <w:r>
        <w:rPr>
          <w:rFonts w:hint="eastAsia" w:ascii="宋体" w:hAnsi="宋体" w:cs="宋体"/>
          <w:color w:val="auto"/>
          <w:sz w:val="24"/>
          <w:szCs w:val="24"/>
          <w:lang w:val="en-US" w:eastAsia="zh-CN"/>
        </w:rPr>
        <w:t>m</w:t>
      </w:r>
      <w:r>
        <w:rPr>
          <w:rFonts w:hint="eastAsia" w:ascii="宋体" w:hAnsi="宋体" w:cs="宋体"/>
          <w:color w:val="auto"/>
          <w:sz w:val="24"/>
          <w:szCs w:val="24"/>
        </w:rPr>
        <w:t>以上登梯高处作业，梯下无人看守等违规行为要严格管理及时纠正。</w:t>
      </w:r>
    </w:p>
    <w:p>
      <w:pPr>
        <w:pStyle w:val="5"/>
        <w:numPr>
          <w:ilvl w:val="0"/>
          <w:numId w:val="2"/>
        </w:numPr>
        <w:spacing w:line="360" w:lineRule="auto"/>
        <w:rPr>
          <w:rFonts w:hint="eastAsia" w:ascii="宋体" w:hAnsi="宋体" w:cs="宋体"/>
          <w:color w:val="auto"/>
          <w:sz w:val="24"/>
          <w:szCs w:val="24"/>
        </w:rPr>
      </w:pPr>
      <w:r>
        <w:rPr>
          <w:rFonts w:hint="eastAsia" w:ascii="宋体" w:hAnsi="宋体" w:cs="宋体"/>
          <w:color w:val="auto"/>
          <w:sz w:val="24"/>
          <w:szCs w:val="24"/>
        </w:rPr>
        <w:t>负责组织对展览期间的安全检查巡视工作，确保展台的结构、电气等安全。</w:t>
      </w:r>
    </w:p>
    <w:p>
      <w:pPr>
        <w:pStyle w:val="5"/>
        <w:numPr>
          <w:ilvl w:val="0"/>
          <w:numId w:val="2"/>
        </w:numPr>
        <w:spacing w:line="360" w:lineRule="auto"/>
        <w:rPr>
          <w:rFonts w:hint="eastAsia" w:ascii="宋体" w:hAnsi="宋体" w:cs="宋体"/>
          <w:color w:val="auto"/>
          <w:sz w:val="24"/>
          <w:szCs w:val="24"/>
        </w:rPr>
      </w:pPr>
      <w:r>
        <w:rPr>
          <w:rFonts w:hint="eastAsia" w:ascii="宋体" w:hAnsi="宋体" w:cs="宋体"/>
          <w:color w:val="auto"/>
          <w:sz w:val="24"/>
          <w:szCs w:val="24"/>
        </w:rPr>
        <w:t>负责对展览展台拆卸结构材料及装饰材料（木条、涂料桶、宝丽布、一次性展台内展毯）等清运过程中的监督管理工作，确保撤展期间的各项工作安全整洁有序，严禁野蛮拆卸。</w:t>
      </w:r>
    </w:p>
    <w:p>
      <w:pPr>
        <w:pStyle w:val="5"/>
        <w:spacing w:line="360" w:lineRule="auto"/>
        <w:rPr>
          <w:rFonts w:hint="eastAsia" w:ascii="宋体" w:hAnsi="宋体" w:cs="宋体"/>
          <w:color w:val="auto"/>
          <w:sz w:val="24"/>
          <w:szCs w:val="24"/>
        </w:rPr>
      </w:pPr>
    </w:p>
    <w:p>
      <w:pPr>
        <w:pStyle w:val="5"/>
        <w:numPr>
          <w:ilvl w:val="0"/>
          <w:numId w:val="1"/>
        </w:numPr>
        <w:spacing w:line="360" w:lineRule="auto"/>
        <w:jc w:val="left"/>
        <w:outlineLvl w:val="0"/>
        <w:rPr>
          <w:rFonts w:hint="eastAsia" w:ascii="宋体" w:hAnsi="宋体" w:cs="宋体"/>
          <w:b/>
          <w:color w:val="auto"/>
          <w:sz w:val="24"/>
          <w:szCs w:val="24"/>
        </w:rPr>
      </w:pPr>
      <w:bookmarkStart w:id="4" w:name="_Toc22419_WPSOffice_Level1"/>
      <w:r>
        <w:rPr>
          <w:rFonts w:hint="eastAsia" w:ascii="宋体" w:hAnsi="宋体" w:cs="宋体"/>
          <w:b/>
          <w:color w:val="auto"/>
          <w:sz w:val="24"/>
          <w:szCs w:val="24"/>
        </w:rPr>
        <w:t>施工人员要求</w:t>
      </w:r>
      <w:bookmarkEnd w:id="4"/>
    </w:p>
    <w:p>
      <w:pPr>
        <w:pStyle w:val="5"/>
        <w:numPr>
          <w:ilvl w:val="0"/>
          <w:numId w:val="3"/>
        </w:numPr>
        <w:spacing w:line="360" w:lineRule="auto"/>
        <w:rPr>
          <w:rFonts w:hint="eastAsia" w:ascii="宋体" w:hAnsi="宋体" w:cs="宋体"/>
          <w:color w:val="auto"/>
          <w:sz w:val="24"/>
          <w:szCs w:val="24"/>
        </w:rPr>
      </w:pPr>
      <w:r>
        <w:rPr>
          <w:rFonts w:hint="eastAsia" w:ascii="宋体" w:hAnsi="宋体" w:cs="宋体"/>
          <w:color w:val="auto"/>
          <w:sz w:val="24"/>
          <w:szCs w:val="24"/>
        </w:rPr>
        <w:t>施工人员进场施工必须正确佩戴安全帽，并做好必要的安全防护措施。</w:t>
      </w:r>
    </w:p>
    <w:p>
      <w:pPr>
        <w:pStyle w:val="5"/>
        <w:numPr>
          <w:ilvl w:val="0"/>
          <w:numId w:val="3"/>
        </w:numPr>
        <w:spacing w:line="360" w:lineRule="auto"/>
        <w:rPr>
          <w:rFonts w:hint="eastAsia" w:ascii="宋体" w:hAnsi="宋体" w:cs="宋体"/>
          <w:color w:val="auto"/>
          <w:sz w:val="24"/>
          <w:szCs w:val="24"/>
        </w:rPr>
      </w:pPr>
      <w:r>
        <w:rPr>
          <w:rFonts w:hint="eastAsia" w:ascii="宋体" w:hAnsi="宋体" w:cs="宋体"/>
          <w:color w:val="auto"/>
          <w:sz w:val="24"/>
          <w:szCs w:val="24"/>
        </w:rPr>
        <w:t>施工人员必须持本人施工证进入施工现场。</w:t>
      </w:r>
    </w:p>
    <w:p>
      <w:pPr>
        <w:pStyle w:val="5"/>
        <w:numPr>
          <w:ilvl w:val="0"/>
          <w:numId w:val="3"/>
        </w:numPr>
        <w:spacing w:line="360" w:lineRule="auto"/>
        <w:rPr>
          <w:rFonts w:hint="eastAsia" w:ascii="宋体" w:hAnsi="宋体" w:cs="宋体"/>
          <w:color w:val="auto"/>
          <w:sz w:val="24"/>
          <w:szCs w:val="24"/>
        </w:rPr>
      </w:pPr>
      <w:r>
        <w:rPr>
          <w:rFonts w:hint="eastAsia" w:ascii="宋体" w:hAnsi="宋体" w:cs="宋体"/>
          <w:color w:val="auto"/>
          <w:sz w:val="24"/>
          <w:szCs w:val="24"/>
        </w:rPr>
        <w:t>施工人员酒后、身体不适时，严禁进入施工现场。</w:t>
      </w:r>
    </w:p>
    <w:p>
      <w:pPr>
        <w:pStyle w:val="5"/>
        <w:numPr>
          <w:ilvl w:val="0"/>
          <w:numId w:val="3"/>
        </w:numPr>
        <w:spacing w:line="360" w:lineRule="auto"/>
        <w:rPr>
          <w:rFonts w:hint="eastAsia" w:ascii="宋体" w:hAnsi="宋体" w:cs="宋体"/>
          <w:color w:val="auto"/>
          <w:sz w:val="24"/>
          <w:szCs w:val="24"/>
        </w:rPr>
      </w:pPr>
      <w:r>
        <w:rPr>
          <w:rFonts w:hint="eastAsia" w:ascii="宋体" w:hAnsi="宋体" w:cs="宋体"/>
          <w:color w:val="auto"/>
          <w:sz w:val="24"/>
          <w:szCs w:val="24"/>
        </w:rPr>
        <w:t>施工人员登梯2</w:t>
      </w:r>
      <w:r>
        <w:rPr>
          <w:rFonts w:hint="eastAsia" w:ascii="宋体" w:hAnsi="宋体" w:cs="宋体"/>
          <w:color w:val="auto"/>
          <w:sz w:val="24"/>
          <w:szCs w:val="24"/>
          <w:lang w:val="en-US" w:eastAsia="zh-CN"/>
        </w:rPr>
        <w:t>m</w:t>
      </w:r>
      <w:r>
        <w:rPr>
          <w:rFonts w:hint="eastAsia" w:ascii="宋体" w:hAnsi="宋体" w:cs="宋体"/>
          <w:color w:val="auto"/>
          <w:sz w:val="24"/>
          <w:szCs w:val="24"/>
        </w:rPr>
        <w:t>以上高处作业时，下方应有专人看护。</w:t>
      </w:r>
    </w:p>
    <w:p>
      <w:pPr>
        <w:pStyle w:val="5"/>
        <w:numPr>
          <w:ilvl w:val="0"/>
          <w:numId w:val="3"/>
        </w:numPr>
        <w:spacing w:line="360" w:lineRule="auto"/>
        <w:rPr>
          <w:rFonts w:hint="eastAsia" w:ascii="宋体" w:hAnsi="宋体" w:cs="宋体"/>
          <w:color w:val="auto"/>
          <w:sz w:val="24"/>
          <w:szCs w:val="24"/>
        </w:rPr>
      </w:pPr>
      <w:r>
        <w:rPr>
          <w:rFonts w:hint="eastAsia" w:ascii="宋体" w:hAnsi="宋体" w:cs="宋体"/>
          <w:color w:val="auto"/>
          <w:sz w:val="24"/>
          <w:szCs w:val="24"/>
        </w:rPr>
        <w:t>电工必须持证上岗（在有效期内）并配备必要的防护措施，方可施工作业。</w:t>
      </w:r>
    </w:p>
    <w:p>
      <w:pPr>
        <w:pStyle w:val="5"/>
        <w:numPr>
          <w:ilvl w:val="0"/>
          <w:numId w:val="3"/>
        </w:numPr>
        <w:spacing w:line="360" w:lineRule="auto"/>
        <w:rPr>
          <w:rFonts w:hint="eastAsia" w:ascii="宋体" w:hAnsi="宋体" w:cs="宋体"/>
          <w:color w:val="auto"/>
          <w:sz w:val="24"/>
          <w:szCs w:val="24"/>
        </w:rPr>
      </w:pPr>
      <w:r>
        <w:rPr>
          <w:rFonts w:hint="eastAsia" w:ascii="宋体" w:hAnsi="宋体" w:cs="宋体"/>
          <w:color w:val="auto"/>
          <w:sz w:val="24"/>
          <w:szCs w:val="24"/>
        </w:rPr>
        <w:t>高空作业时施工人员应持有高空作业证并配备安全防护用具，方可施工作业。</w:t>
      </w:r>
    </w:p>
    <w:p>
      <w:pPr>
        <w:pStyle w:val="5"/>
        <w:numPr>
          <w:ilvl w:val="0"/>
          <w:numId w:val="3"/>
        </w:numPr>
        <w:spacing w:line="360" w:lineRule="auto"/>
        <w:rPr>
          <w:rFonts w:hint="eastAsia" w:ascii="宋体" w:hAnsi="宋体" w:cs="宋体"/>
          <w:color w:val="auto"/>
          <w:sz w:val="24"/>
          <w:szCs w:val="24"/>
        </w:rPr>
      </w:pPr>
      <w:r>
        <w:rPr>
          <w:rFonts w:hint="eastAsia" w:ascii="宋体" w:hAnsi="宋体" w:cs="宋体"/>
          <w:color w:val="auto"/>
          <w:sz w:val="24"/>
          <w:szCs w:val="24"/>
        </w:rPr>
        <w:t>施工人员高空作业时，应佩戴安全帽及安全带等防护措施，作业时应采用高挂低用的方式，下方应有安全员监护，严禁无关人员进入工作区域内。</w:t>
      </w:r>
    </w:p>
    <w:p>
      <w:pPr>
        <w:pStyle w:val="5"/>
        <w:spacing w:line="360" w:lineRule="auto"/>
        <w:rPr>
          <w:rFonts w:hint="eastAsia" w:ascii="宋体" w:hAnsi="宋体" w:cs="宋体"/>
          <w:color w:val="auto"/>
          <w:sz w:val="24"/>
          <w:szCs w:val="24"/>
        </w:rPr>
      </w:pPr>
    </w:p>
    <w:p>
      <w:pPr>
        <w:pStyle w:val="5"/>
        <w:numPr>
          <w:ilvl w:val="0"/>
          <w:numId w:val="1"/>
        </w:numPr>
        <w:spacing w:line="360" w:lineRule="auto"/>
        <w:jc w:val="left"/>
        <w:outlineLvl w:val="0"/>
        <w:rPr>
          <w:rFonts w:hint="eastAsia" w:ascii="宋体" w:hAnsi="宋体" w:cs="宋体"/>
          <w:b/>
          <w:color w:val="auto"/>
          <w:sz w:val="24"/>
          <w:szCs w:val="24"/>
        </w:rPr>
      </w:pPr>
      <w:bookmarkStart w:id="5" w:name="_Toc17421_WPSOffice_Level1"/>
      <w:r>
        <w:rPr>
          <w:rFonts w:hint="eastAsia" w:ascii="宋体" w:hAnsi="宋体" w:cs="宋体"/>
          <w:b/>
          <w:color w:val="auto"/>
          <w:sz w:val="24"/>
          <w:szCs w:val="24"/>
        </w:rPr>
        <w:t>施工搭建要求</w:t>
      </w:r>
      <w:bookmarkEnd w:id="5"/>
    </w:p>
    <w:p>
      <w:pPr>
        <w:pStyle w:val="5"/>
        <w:numPr>
          <w:ilvl w:val="0"/>
          <w:numId w:val="4"/>
        </w:numPr>
        <w:spacing w:line="360" w:lineRule="auto"/>
        <w:rPr>
          <w:rFonts w:hint="eastAsia" w:ascii="宋体" w:hAnsi="宋体" w:cs="宋体"/>
          <w:color w:val="auto"/>
          <w:sz w:val="24"/>
          <w:szCs w:val="24"/>
        </w:rPr>
      </w:pPr>
      <w:r>
        <w:rPr>
          <w:rFonts w:hint="eastAsia" w:ascii="宋体" w:hAnsi="宋体" w:cs="宋体"/>
          <w:color w:val="auto"/>
          <w:sz w:val="24"/>
          <w:szCs w:val="24"/>
        </w:rPr>
        <w:t>会议区进场搭建运送货物时，应从C23入口进入，只允许使用货梯，严禁使用客用电梯及客用扶梯。</w:t>
      </w:r>
    </w:p>
    <w:p>
      <w:pPr>
        <w:pStyle w:val="5"/>
        <w:numPr>
          <w:ilvl w:val="0"/>
          <w:numId w:val="4"/>
        </w:numPr>
        <w:spacing w:line="360" w:lineRule="auto"/>
        <w:rPr>
          <w:rFonts w:hint="eastAsia" w:ascii="宋体" w:hAnsi="宋体" w:cs="宋体"/>
          <w:color w:val="auto"/>
          <w:sz w:val="24"/>
          <w:szCs w:val="24"/>
        </w:rPr>
      </w:pPr>
      <w:r>
        <w:rPr>
          <w:rFonts w:hint="eastAsia" w:ascii="宋体" w:hAnsi="宋体" w:cs="宋体"/>
          <w:color w:val="auto"/>
          <w:sz w:val="24"/>
          <w:szCs w:val="24"/>
        </w:rPr>
        <w:t>施工单位运送货物进入时，应对厅室大门做好保护措施，避免对门体造成磕碰损伤。</w:t>
      </w:r>
    </w:p>
    <w:p>
      <w:pPr>
        <w:pStyle w:val="5"/>
        <w:numPr>
          <w:ilvl w:val="0"/>
          <w:numId w:val="4"/>
        </w:numPr>
        <w:spacing w:line="360" w:lineRule="auto"/>
        <w:rPr>
          <w:rFonts w:hint="eastAsia" w:ascii="宋体" w:hAnsi="宋体" w:cs="宋体"/>
          <w:color w:val="auto"/>
          <w:sz w:val="24"/>
          <w:szCs w:val="24"/>
        </w:rPr>
      </w:pPr>
      <w:r>
        <w:rPr>
          <w:rFonts w:hint="eastAsia" w:ascii="宋体" w:hAnsi="宋体" w:cs="宋体"/>
          <w:color w:val="auto"/>
          <w:sz w:val="24"/>
          <w:szCs w:val="24"/>
        </w:rPr>
        <w:t>进场前要在厅室内铺好地毯或者塑料膜再放搭建材料，如搭建舞台，所有结构着地面必须先铺地膜再铺一层不少于10mm厚的木板。</w:t>
      </w:r>
    </w:p>
    <w:p>
      <w:pPr>
        <w:pStyle w:val="5"/>
        <w:numPr>
          <w:ilvl w:val="0"/>
          <w:numId w:val="4"/>
        </w:numPr>
        <w:spacing w:line="360" w:lineRule="auto"/>
        <w:rPr>
          <w:rFonts w:hint="eastAsia" w:ascii="宋体" w:hAnsi="宋体" w:cs="宋体"/>
          <w:color w:val="auto"/>
          <w:sz w:val="24"/>
          <w:szCs w:val="24"/>
        </w:rPr>
      </w:pPr>
      <w:r>
        <w:rPr>
          <w:rFonts w:hint="eastAsia" w:ascii="宋体" w:hAnsi="宋体" w:cs="宋体"/>
          <w:color w:val="auto"/>
          <w:sz w:val="24"/>
          <w:szCs w:val="24"/>
        </w:rPr>
        <w:t>宴会厅、会议室，进行展览搭建时，整个厅室内要先铺一层塑料膜，再铺两层（每层不少于18mm 厚）木板方后可搭建；</w:t>
      </w:r>
    </w:p>
    <w:p>
      <w:pPr>
        <w:pStyle w:val="5"/>
        <w:numPr>
          <w:ilvl w:val="0"/>
          <w:numId w:val="4"/>
        </w:numPr>
        <w:spacing w:line="360" w:lineRule="auto"/>
        <w:rPr>
          <w:rFonts w:hint="eastAsia" w:ascii="宋体" w:hAnsi="宋体" w:cs="宋体"/>
          <w:color w:val="auto"/>
          <w:sz w:val="24"/>
          <w:szCs w:val="24"/>
        </w:rPr>
      </w:pPr>
      <w:r>
        <w:rPr>
          <w:rFonts w:hint="eastAsia" w:ascii="宋体" w:hAnsi="宋体" w:cs="宋体"/>
          <w:color w:val="auto"/>
          <w:sz w:val="24"/>
          <w:szCs w:val="24"/>
        </w:rPr>
        <w:t>施工单位进场施工应配备相应灭火器，严格按照报备展台图纸进行施工，搭建面积不得超出展台范围。</w:t>
      </w:r>
    </w:p>
    <w:p>
      <w:pPr>
        <w:pStyle w:val="5"/>
        <w:numPr>
          <w:ilvl w:val="0"/>
          <w:numId w:val="4"/>
        </w:numPr>
        <w:spacing w:line="360" w:lineRule="auto"/>
        <w:rPr>
          <w:rFonts w:hint="eastAsia" w:ascii="宋体" w:hAnsi="宋体" w:cs="宋体"/>
          <w:color w:val="auto"/>
          <w:sz w:val="24"/>
          <w:szCs w:val="24"/>
        </w:rPr>
      </w:pPr>
      <w:r>
        <w:rPr>
          <w:rFonts w:hint="eastAsia" w:ascii="宋体" w:hAnsi="宋体" w:cs="宋体"/>
          <w:color w:val="auto"/>
          <w:sz w:val="24"/>
          <w:szCs w:val="24"/>
        </w:rPr>
        <w:t>遇到场馆固定设施时（如立柱等），施工单位应实测实量后再做规划。</w:t>
      </w:r>
    </w:p>
    <w:p>
      <w:pPr>
        <w:pStyle w:val="5"/>
        <w:numPr>
          <w:ilvl w:val="0"/>
          <w:numId w:val="4"/>
        </w:numPr>
        <w:spacing w:line="360" w:lineRule="auto"/>
        <w:rPr>
          <w:rFonts w:hint="eastAsia" w:ascii="宋体" w:hAnsi="宋体" w:cs="宋体"/>
          <w:color w:val="auto"/>
          <w:sz w:val="24"/>
          <w:szCs w:val="24"/>
        </w:rPr>
      </w:pPr>
      <w:r>
        <w:rPr>
          <w:rFonts w:hint="eastAsia" w:ascii="宋体" w:hAnsi="宋体" w:cs="宋体"/>
          <w:color w:val="auto"/>
          <w:sz w:val="24"/>
          <w:szCs w:val="24"/>
        </w:rPr>
        <w:t>所有临建设施（展台）搭建不得超过场馆限定高度：</w:t>
      </w:r>
    </w:p>
    <w:tbl>
      <w:tblPr>
        <w:tblStyle w:val="4"/>
        <w:tblW w:w="984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55"/>
        <w:gridCol w:w="4471"/>
        <w:gridCol w:w="3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55" w:type="dxa"/>
            <w:noWrap w:val="0"/>
            <w:vAlign w:val="center"/>
          </w:tcPr>
          <w:p>
            <w:pPr>
              <w:spacing w:line="360" w:lineRule="auto"/>
              <w:jc w:val="center"/>
              <w:rPr>
                <w:rFonts w:ascii="宋体" w:hAnsi="宋体"/>
                <w:b/>
                <w:color w:val="auto"/>
                <w:sz w:val="24"/>
                <w:szCs w:val="24"/>
              </w:rPr>
            </w:pPr>
            <w:r>
              <w:rPr>
                <w:rFonts w:hint="eastAsia" w:ascii="宋体" w:hAnsi="宋体"/>
                <w:b/>
                <w:color w:val="auto"/>
                <w:sz w:val="24"/>
                <w:szCs w:val="24"/>
              </w:rPr>
              <w:t>区域</w:t>
            </w:r>
          </w:p>
        </w:tc>
        <w:tc>
          <w:tcPr>
            <w:tcW w:w="4471" w:type="dxa"/>
            <w:noWrap w:val="0"/>
            <w:vAlign w:val="center"/>
          </w:tcPr>
          <w:p>
            <w:pPr>
              <w:spacing w:line="360" w:lineRule="auto"/>
              <w:jc w:val="center"/>
              <w:rPr>
                <w:rFonts w:ascii="宋体" w:hAnsi="宋体"/>
                <w:b/>
                <w:color w:val="auto"/>
                <w:sz w:val="24"/>
                <w:szCs w:val="24"/>
              </w:rPr>
            </w:pPr>
            <w:r>
              <w:rPr>
                <w:rFonts w:hint="eastAsia" w:ascii="宋体" w:hAnsi="宋体"/>
                <w:b/>
                <w:color w:val="auto"/>
                <w:sz w:val="24"/>
                <w:szCs w:val="24"/>
              </w:rPr>
              <w:t>厅室</w:t>
            </w:r>
          </w:p>
        </w:tc>
        <w:tc>
          <w:tcPr>
            <w:tcW w:w="3023" w:type="dxa"/>
            <w:noWrap w:val="0"/>
            <w:vAlign w:val="center"/>
          </w:tcPr>
          <w:p>
            <w:pPr>
              <w:spacing w:line="360" w:lineRule="auto"/>
              <w:jc w:val="center"/>
              <w:rPr>
                <w:rFonts w:ascii="宋体" w:hAnsi="宋体"/>
                <w:b/>
                <w:color w:val="auto"/>
                <w:sz w:val="24"/>
                <w:szCs w:val="24"/>
              </w:rPr>
            </w:pPr>
            <w:r>
              <w:rPr>
                <w:rFonts w:hint="eastAsia" w:ascii="宋体" w:hAnsi="宋体"/>
                <w:b/>
                <w:color w:val="auto"/>
                <w:sz w:val="24"/>
                <w:szCs w:val="24"/>
              </w:rPr>
              <w:t>搭建限高（m）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55" w:type="dxa"/>
            <w:vMerge w:val="restart"/>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展</w:t>
            </w:r>
            <w:r>
              <w:rPr>
                <w:rFonts w:hint="eastAsia" w:ascii="宋体" w:hAnsi="宋体"/>
                <w:color w:val="auto"/>
                <w:sz w:val="24"/>
                <w:szCs w:val="24"/>
                <w:lang w:val="en-US" w:eastAsia="zh-CN"/>
              </w:rPr>
              <w:t>览</w:t>
            </w:r>
            <w:r>
              <w:rPr>
                <w:rFonts w:hint="eastAsia" w:ascii="宋体" w:hAnsi="宋体"/>
                <w:color w:val="auto"/>
                <w:sz w:val="24"/>
                <w:szCs w:val="24"/>
              </w:rPr>
              <w:t>区</w:t>
            </w:r>
          </w:p>
        </w:tc>
        <w:tc>
          <w:tcPr>
            <w:tcW w:w="4471"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lang w:val="en-US" w:eastAsia="zh-CN"/>
              </w:rPr>
              <w:t>展览区</w:t>
            </w:r>
            <w:r>
              <w:rPr>
                <w:rFonts w:hint="eastAsia" w:ascii="宋体" w:hAnsi="宋体"/>
                <w:color w:val="auto"/>
                <w:sz w:val="24"/>
                <w:szCs w:val="24"/>
              </w:rPr>
              <w:t>展厅A/B</w:t>
            </w:r>
          </w:p>
        </w:tc>
        <w:tc>
          <w:tcPr>
            <w:tcW w:w="3023"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55" w:type="dxa"/>
            <w:vMerge w:val="continue"/>
            <w:noWrap w:val="0"/>
            <w:vAlign w:val="center"/>
          </w:tcPr>
          <w:p>
            <w:pPr>
              <w:spacing w:line="360" w:lineRule="auto"/>
              <w:jc w:val="center"/>
              <w:rPr>
                <w:rFonts w:hint="eastAsia" w:ascii="宋体" w:hAnsi="宋体"/>
                <w:color w:val="auto"/>
                <w:sz w:val="24"/>
                <w:szCs w:val="24"/>
              </w:rPr>
            </w:pPr>
          </w:p>
        </w:tc>
        <w:tc>
          <w:tcPr>
            <w:tcW w:w="4471" w:type="dxa"/>
            <w:noWrap w:val="0"/>
            <w:vAlign w:val="center"/>
          </w:tcPr>
          <w:p>
            <w:pPr>
              <w:spacing w:line="360" w:lineRule="auto"/>
              <w:jc w:val="center"/>
              <w:rPr>
                <w:rFonts w:hint="eastAsia" w:ascii="宋体" w:hAnsi="宋体"/>
                <w:color w:val="auto"/>
                <w:sz w:val="24"/>
                <w:szCs w:val="24"/>
              </w:rPr>
            </w:pPr>
            <w:r>
              <w:rPr>
                <w:rFonts w:hint="eastAsia" w:ascii="宋体" w:hAnsi="宋体"/>
                <w:color w:val="auto"/>
                <w:sz w:val="24"/>
                <w:szCs w:val="24"/>
              </w:rPr>
              <w:t>登录厅</w:t>
            </w:r>
          </w:p>
        </w:tc>
        <w:tc>
          <w:tcPr>
            <w:tcW w:w="3023"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55" w:type="dxa"/>
            <w:vMerge w:val="continue"/>
            <w:noWrap w:val="0"/>
            <w:vAlign w:val="center"/>
          </w:tcPr>
          <w:p>
            <w:pPr>
              <w:spacing w:line="360" w:lineRule="auto"/>
              <w:jc w:val="center"/>
              <w:rPr>
                <w:rFonts w:hint="eastAsia" w:ascii="宋体" w:hAnsi="宋体"/>
                <w:color w:val="auto"/>
                <w:sz w:val="24"/>
                <w:szCs w:val="24"/>
              </w:rPr>
            </w:pPr>
          </w:p>
        </w:tc>
        <w:tc>
          <w:tcPr>
            <w:tcW w:w="4471" w:type="dxa"/>
            <w:noWrap w:val="0"/>
            <w:vAlign w:val="center"/>
          </w:tcPr>
          <w:p>
            <w:pPr>
              <w:spacing w:line="360" w:lineRule="auto"/>
              <w:jc w:val="center"/>
              <w:rPr>
                <w:rFonts w:hint="eastAsia" w:ascii="宋体" w:hAnsi="宋体"/>
                <w:color w:val="auto"/>
                <w:sz w:val="24"/>
                <w:szCs w:val="24"/>
              </w:rPr>
            </w:pPr>
            <w:r>
              <w:rPr>
                <w:rFonts w:hint="eastAsia" w:ascii="宋体" w:hAnsi="宋体"/>
                <w:color w:val="auto"/>
                <w:sz w:val="24"/>
                <w:szCs w:val="24"/>
              </w:rPr>
              <w:t>展</w:t>
            </w:r>
            <w:r>
              <w:rPr>
                <w:rFonts w:hint="eastAsia" w:ascii="宋体" w:hAnsi="宋体"/>
                <w:color w:val="auto"/>
                <w:sz w:val="24"/>
                <w:szCs w:val="24"/>
                <w:lang w:val="en-US" w:eastAsia="zh-CN"/>
              </w:rPr>
              <w:t>览</w:t>
            </w:r>
            <w:r>
              <w:rPr>
                <w:rFonts w:hint="eastAsia" w:ascii="宋体" w:hAnsi="宋体"/>
                <w:color w:val="auto"/>
                <w:sz w:val="24"/>
                <w:szCs w:val="24"/>
              </w:rPr>
              <w:t>区会议室</w:t>
            </w:r>
          </w:p>
        </w:tc>
        <w:tc>
          <w:tcPr>
            <w:tcW w:w="3023"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55" w:type="dxa"/>
            <w:vMerge w:val="restart"/>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会议区一层</w:t>
            </w:r>
          </w:p>
        </w:tc>
        <w:tc>
          <w:tcPr>
            <w:tcW w:w="4471" w:type="dxa"/>
            <w:noWrap w:val="0"/>
            <w:vAlign w:val="center"/>
          </w:tcPr>
          <w:p>
            <w:pPr>
              <w:spacing w:line="360" w:lineRule="auto"/>
              <w:jc w:val="center"/>
              <w:rPr>
                <w:rFonts w:hint="eastAsia" w:ascii="宋体" w:hAnsi="宋体" w:eastAsia="宋体"/>
                <w:color w:val="auto"/>
                <w:sz w:val="24"/>
                <w:szCs w:val="24"/>
                <w:lang w:eastAsia="zh-CN"/>
              </w:rPr>
            </w:pPr>
            <w:r>
              <w:rPr>
                <w:rFonts w:hint="eastAsia" w:ascii="宋体" w:hAnsi="宋体"/>
                <w:color w:val="auto"/>
                <w:sz w:val="24"/>
                <w:szCs w:val="24"/>
                <w:lang w:val="en-US" w:eastAsia="zh-CN"/>
              </w:rPr>
              <w:t>登录厅</w:t>
            </w:r>
          </w:p>
        </w:tc>
        <w:tc>
          <w:tcPr>
            <w:tcW w:w="3023"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55" w:type="dxa"/>
            <w:vMerge w:val="continue"/>
            <w:noWrap w:val="0"/>
            <w:vAlign w:val="center"/>
          </w:tcPr>
          <w:p>
            <w:pPr>
              <w:spacing w:line="360" w:lineRule="auto"/>
              <w:jc w:val="center"/>
              <w:rPr>
                <w:rFonts w:ascii="宋体" w:hAnsi="宋体"/>
                <w:color w:val="auto"/>
                <w:sz w:val="24"/>
                <w:szCs w:val="24"/>
              </w:rPr>
            </w:pPr>
          </w:p>
        </w:tc>
        <w:tc>
          <w:tcPr>
            <w:tcW w:w="4471"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lang w:val="en-US" w:eastAsia="zh-CN"/>
              </w:rPr>
              <w:t>国际</w:t>
            </w:r>
            <w:r>
              <w:rPr>
                <w:rFonts w:hint="eastAsia" w:ascii="宋体" w:hAnsi="宋体"/>
                <w:color w:val="auto"/>
                <w:sz w:val="24"/>
                <w:szCs w:val="24"/>
              </w:rPr>
              <w:t>厅A/B</w:t>
            </w:r>
          </w:p>
        </w:tc>
        <w:tc>
          <w:tcPr>
            <w:tcW w:w="3023" w:type="dxa"/>
            <w:noWrap w:val="0"/>
            <w:vAlign w:val="center"/>
          </w:tcPr>
          <w:p>
            <w:pPr>
              <w:spacing w:line="360" w:lineRule="auto"/>
              <w:jc w:val="center"/>
              <w:rPr>
                <w:rFonts w:hint="eastAsia" w:ascii="宋体" w:hAnsi="宋体"/>
                <w:color w:val="auto"/>
                <w:sz w:val="24"/>
                <w:szCs w:val="24"/>
              </w:rPr>
            </w:pPr>
            <w:r>
              <w:rPr>
                <w:rFonts w:hint="eastAsia" w:ascii="宋体" w:hAnsi="宋体"/>
                <w:color w:val="auto"/>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55" w:type="dxa"/>
            <w:vMerge w:val="continue"/>
            <w:noWrap w:val="0"/>
            <w:vAlign w:val="center"/>
          </w:tcPr>
          <w:p>
            <w:pPr>
              <w:spacing w:line="360" w:lineRule="auto"/>
              <w:jc w:val="center"/>
              <w:rPr>
                <w:rFonts w:ascii="宋体" w:hAnsi="宋体"/>
                <w:color w:val="auto"/>
                <w:sz w:val="24"/>
                <w:szCs w:val="24"/>
              </w:rPr>
            </w:pPr>
          </w:p>
        </w:tc>
        <w:tc>
          <w:tcPr>
            <w:tcW w:w="4471"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国际厅南序厅</w:t>
            </w:r>
          </w:p>
        </w:tc>
        <w:tc>
          <w:tcPr>
            <w:tcW w:w="3023"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55" w:type="dxa"/>
            <w:vMerge w:val="continue"/>
            <w:noWrap w:val="0"/>
            <w:vAlign w:val="center"/>
          </w:tcPr>
          <w:p>
            <w:pPr>
              <w:spacing w:line="360" w:lineRule="auto"/>
              <w:jc w:val="center"/>
              <w:rPr>
                <w:rFonts w:ascii="宋体" w:hAnsi="宋体"/>
                <w:color w:val="auto"/>
                <w:sz w:val="24"/>
                <w:szCs w:val="24"/>
              </w:rPr>
            </w:pPr>
          </w:p>
        </w:tc>
        <w:tc>
          <w:tcPr>
            <w:tcW w:w="4471"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会议室</w:t>
            </w:r>
          </w:p>
        </w:tc>
        <w:tc>
          <w:tcPr>
            <w:tcW w:w="3023"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55" w:type="dxa"/>
            <w:vMerge w:val="restart"/>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会议区二层</w:t>
            </w:r>
          </w:p>
        </w:tc>
        <w:tc>
          <w:tcPr>
            <w:tcW w:w="4471" w:type="dxa"/>
            <w:noWrap w:val="0"/>
            <w:vAlign w:val="center"/>
          </w:tcPr>
          <w:p>
            <w:pPr>
              <w:spacing w:line="360" w:lineRule="auto"/>
              <w:jc w:val="center"/>
              <w:rPr>
                <w:rFonts w:hint="eastAsia" w:ascii="宋体" w:hAnsi="宋体"/>
                <w:color w:val="auto"/>
                <w:sz w:val="24"/>
                <w:szCs w:val="24"/>
              </w:rPr>
            </w:pPr>
            <w:r>
              <w:rPr>
                <w:rFonts w:hint="eastAsia" w:ascii="宋体" w:hAnsi="宋体"/>
                <w:color w:val="auto"/>
                <w:sz w:val="24"/>
                <w:szCs w:val="24"/>
              </w:rPr>
              <w:t>宴会厅</w:t>
            </w:r>
          </w:p>
        </w:tc>
        <w:tc>
          <w:tcPr>
            <w:tcW w:w="3023"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55" w:type="dxa"/>
            <w:vMerge w:val="continue"/>
            <w:noWrap w:val="0"/>
            <w:vAlign w:val="center"/>
          </w:tcPr>
          <w:p>
            <w:pPr>
              <w:spacing w:line="360" w:lineRule="auto"/>
              <w:jc w:val="center"/>
              <w:rPr>
                <w:rFonts w:ascii="宋体" w:hAnsi="宋体"/>
                <w:color w:val="auto"/>
                <w:sz w:val="24"/>
                <w:szCs w:val="24"/>
              </w:rPr>
            </w:pPr>
          </w:p>
        </w:tc>
        <w:tc>
          <w:tcPr>
            <w:tcW w:w="4471"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新闻发布厅</w:t>
            </w:r>
          </w:p>
        </w:tc>
        <w:tc>
          <w:tcPr>
            <w:tcW w:w="3023"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55" w:type="dxa"/>
            <w:vMerge w:val="continue"/>
            <w:noWrap w:val="0"/>
            <w:vAlign w:val="center"/>
          </w:tcPr>
          <w:p>
            <w:pPr>
              <w:spacing w:line="360" w:lineRule="auto"/>
              <w:jc w:val="center"/>
              <w:rPr>
                <w:rFonts w:ascii="宋体" w:hAnsi="宋体"/>
                <w:color w:val="auto"/>
                <w:sz w:val="24"/>
                <w:szCs w:val="24"/>
              </w:rPr>
            </w:pPr>
          </w:p>
        </w:tc>
        <w:tc>
          <w:tcPr>
            <w:tcW w:w="4471"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宴会厅序厅</w:t>
            </w:r>
          </w:p>
        </w:tc>
        <w:tc>
          <w:tcPr>
            <w:tcW w:w="3023" w:type="dxa"/>
            <w:noWrap w:val="0"/>
            <w:vAlign w:val="center"/>
          </w:tcPr>
          <w:p>
            <w:pPr>
              <w:spacing w:line="360" w:lineRule="auto"/>
              <w:jc w:val="center"/>
              <w:rPr>
                <w:rFonts w:ascii="宋体" w:hAnsi="宋体"/>
                <w:color w:val="auto"/>
                <w:sz w:val="24"/>
                <w:szCs w:val="24"/>
              </w:rPr>
            </w:pPr>
            <w:r>
              <w:rPr>
                <w:rFonts w:ascii="宋体" w:hAnsi="宋体"/>
                <w:color w:val="auto"/>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55" w:type="dxa"/>
            <w:vMerge w:val="continue"/>
            <w:noWrap w:val="0"/>
            <w:vAlign w:val="center"/>
          </w:tcPr>
          <w:p>
            <w:pPr>
              <w:spacing w:line="360" w:lineRule="auto"/>
              <w:jc w:val="center"/>
              <w:rPr>
                <w:rFonts w:ascii="宋体" w:hAnsi="宋体"/>
                <w:color w:val="auto"/>
                <w:sz w:val="24"/>
                <w:szCs w:val="24"/>
              </w:rPr>
            </w:pPr>
          </w:p>
        </w:tc>
        <w:tc>
          <w:tcPr>
            <w:tcW w:w="4471"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会议室</w:t>
            </w:r>
          </w:p>
        </w:tc>
        <w:tc>
          <w:tcPr>
            <w:tcW w:w="3023"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355"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会议区三层</w:t>
            </w:r>
          </w:p>
        </w:tc>
        <w:tc>
          <w:tcPr>
            <w:tcW w:w="4471"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会议室</w:t>
            </w:r>
          </w:p>
        </w:tc>
        <w:tc>
          <w:tcPr>
            <w:tcW w:w="3023"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2</w:t>
            </w:r>
          </w:p>
        </w:tc>
      </w:tr>
    </w:tbl>
    <w:p>
      <w:pPr>
        <w:pStyle w:val="5"/>
        <w:spacing w:line="360" w:lineRule="auto"/>
        <w:rPr>
          <w:rFonts w:hint="eastAsia" w:ascii="宋体" w:hAnsi="宋体" w:cs="宋体"/>
          <w:color w:val="auto"/>
          <w:sz w:val="24"/>
          <w:szCs w:val="24"/>
        </w:rPr>
      </w:pPr>
      <w:r>
        <w:rPr>
          <w:rFonts w:hint="eastAsia" w:ascii="宋体" w:hAnsi="宋体" w:cs="宋体"/>
          <w:color w:val="auto"/>
          <w:sz w:val="24"/>
          <w:szCs w:val="24"/>
        </w:rPr>
        <w:t>说明：精品展厅、宴会厅展台限高4.5</w:t>
      </w:r>
      <w:r>
        <w:rPr>
          <w:rFonts w:hint="eastAsia" w:ascii="宋体" w:hAnsi="宋体" w:cs="宋体"/>
          <w:color w:val="auto"/>
          <w:sz w:val="24"/>
          <w:szCs w:val="24"/>
          <w:lang w:val="en-US" w:eastAsia="zh-CN"/>
        </w:rPr>
        <w:t>m</w:t>
      </w:r>
      <w:r>
        <w:rPr>
          <w:rFonts w:hint="eastAsia" w:ascii="宋体" w:hAnsi="宋体" w:cs="宋体"/>
          <w:color w:val="auto"/>
          <w:sz w:val="24"/>
          <w:szCs w:val="24"/>
        </w:rPr>
        <w:t>，会议搭建限高</w:t>
      </w:r>
      <w:r>
        <w:rPr>
          <w:rFonts w:ascii="宋体" w:hAnsi="宋体" w:cs="宋体"/>
          <w:color w:val="auto"/>
          <w:sz w:val="24"/>
          <w:szCs w:val="24"/>
        </w:rPr>
        <w:t>7</w:t>
      </w:r>
      <w:r>
        <w:rPr>
          <w:rFonts w:hint="eastAsia" w:ascii="宋体" w:hAnsi="宋体" w:cs="宋体"/>
          <w:color w:val="auto"/>
          <w:sz w:val="24"/>
          <w:szCs w:val="24"/>
          <w:lang w:val="en-US" w:eastAsia="zh-CN"/>
        </w:rPr>
        <w:t>m</w:t>
      </w:r>
      <w:r>
        <w:rPr>
          <w:rFonts w:hint="eastAsia" w:ascii="宋体" w:hAnsi="宋体" w:cs="宋体"/>
          <w:color w:val="auto"/>
          <w:sz w:val="24"/>
          <w:szCs w:val="24"/>
        </w:rPr>
        <w:t xml:space="preserve"> </w:t>
      </w:r>
    </w:p>
    <w:p>
      <w:pPr>
        <w:pStyle w:val="5"/>
        <w:numPr>
          <w:ilvl w:val="0"/>
          <w:numId w:val="4"/>
        </w:numPr>
        <w:spacing w:line="360" w:lineRule="auto"/>
        <w:rPr>
          <w:rFonts w:hint="eastAsia" w:ascii="宋体" w:hAnsi="宋体" w:cs="宋体"/>
          <w:color w:val="auto"/>
          <w:sz w:val="24"/>
          <w:szCs w:val="24"/>
        </w:rPr>
      </w:pPr>
      <w:r>
        <w:rPr>
          <w:rFonts w:hint="eastAsia" w:ascii="宋体" w:hAnsi="宋体" w:cs="宋体"/>
          <w:color w:val="auto"/>
          <w:sz w:val="24"/>
          <w:szCs w:val="24"/>
        </w:rPr>
        <w:t>搭建材料应选用环保型。</w:t>
      </w:r>
    </w:p>
    <w:p>
      <w:pPr>
        <w:pStyle w:val="5"/>
        <w:numPr>
          <w:ilvl w:val="0"/>
          <w:numId w:val="4"/>
        </w:numPr>
        <w:spacing w:line="360" w:lineRule="auto"/>
        <w:rPr>
          <w:rFonts w:hint="eastAsia" w:ascii="宋体" w:hAnsi="宋体" w:cs="宋体"/>
          <w:color w:val="auto"/>
          <w:sz w:val="24"/>
          <w:szCs w:val="24"/>
        </w:rPr>
      </w:pPr>
      <w:r>
        <w:rPr>
          <w:rFonts w:hint="eastAsia" w:ascii="宋体" w:hAnsi="宋体" w:cs="宋体"/>
          <w:color w:val="auto"/>
          <w:sz w:val="24"/>
          <w:szCs w:val="24"/>
        </w:rPr>
        <w:t>公共区域搭建结构的裸露部分，应使用防火材质进行遮挡。</w:t>
      </w:r>
    </w:p>
    <w:p>
      <w:pPr>
        <w:pStyle w:val="5"/>
        <w:numPr>
          <w:ilvl w:val="0"/>
          <w:numId w:val="4"/>
        </w:numPr>
        <w:spacing w:line="360" w:lineRule="auto"/>
        <w:rPr>
          <w:rFonts w:hint="eastAsia" w:ascii="宋体" w:hAnsi="宋体" w:cs="宋体"/>
          <w:color w:val="auto"/>
          <w:sz w:val="24"/>
          <w:szCs w:val="24"/>
        </w:rPr>
      </w:pPr>
      <w:r>
        <w:rPr>
          <w:rFonts w:hint="eastAsia" w:ascii="宋体" w:hAnsi="宋体" w:cs="宋体"/>
          <w:color w:val="auto"/>
          <w:sz w:val="24"/>
          <w:szCs w:val="24"/>
        </w:rPr>
        <w:t>在玻璃围栏处悬挂吊旗时，严禁将吊挂物直接捆绑在金属栏杆上，须参考下图形式进行吊挂</w:t>
      </w:r>
    </w:p>
    <w:p>
      <w:pPr>
        <w:pStyle w:val="5"/>
        <w:spacing w:line="360" w:lineRule="auto"/>
        <w:rPr>
          <w:rFonts w:hint="eastAsia" w:ascii="宋体" w:hAnsi="宋体" w:cs="宋体"/>
          <w:color w:val="auto"/>
          <w:sz w:val="24"/>
          <w:szCs w:val="24"/>
        </w:rPr>
      </w:pPr>
      <w:r>
        <w:rPr>
          <w:rFonts w:hint="eastAsia" w:ascii="宋体" w:hAnsi="宋体" w:cs="宋体"/>
          <w:color w:val="auto"/>
          <w:sz w:val="24"/>
          <w:szCs w:val="24"/>
        </w:rPr>
        <w:t xml:space="preserve">                                                                                                                                                                                                                                                                     </w:t>
      </w:r>
    </w:p>
    <w:p>
      <w:pPr>
        <w:pStyle w:val="5"/>
        <w:spacing w:line="360" w:lineRule="auto"/>
        <w:rPr>
          <w:rFonts w:hint="eastAsia" w:ascii="宋体" w:hAnsi="宋体" w:cs="宋体"/>
          <w:color w:val="auto"/>
          <w:sz w:val="24"/>
          <w:szCs w:val="24"/>
        </w:rPr>
      </w:pPr>
      <w:r>
        <w:rPr>
          <w:rFonts w:hint="eastAsia" w:ascii="宋体" w:hAnsi="宋体" w:cs="宋体"/>
          <w:color w:val="auto"/>
          <w:sz w:val="24"/>
          <w:szCs w:val="24"/>
        </w:rPr>
        <w:drawing>
          <wp:inline distT="0" distB="0" distL="114300" distR="114300">
            <wp:extent cx="2391410" cy="1276350"/>
            <wp:effectExtent l="0" t="0" r="8890" b="0"/>
            <wp:docPr id="2" name="图片 1" descr="15621454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62145497(1)"/>
                    <pic:cNvPicPr>
                      <a:picLocks noChangeAspect="1"/>
                    </pic:cNvPicPr>
                  </pic:nvPicPr>
                  <pic:blipFill>
                    <a:blip r:embed="rId4"/>
                    <a:stretch>
                      <a:fillRect/>
                    </a:stretch>
                  </pic:blipFill>
                  <pic:spPr>
                    <a:xfrm>
                      <a:off x="0" y="0"/>
                      <a:ext cx="2391410" cy="1276350"/>
                    </a:xfrm>
                    <a:prstGeom prst="rect">
                      <a:avLst/>
                    </a:prstGeom>
                    <a:noFill/>
                    <a:ln w="9525">
                      <a:noFill/>
                    </a:ln>
                  </pic:spPr>
                </pic:pic>
              </a:graphicData>
            </a:graphic>
          </wp:inline>
        </w:drawing>
      </w:r>
      <w:r>
        <w:rPr>
          <w:rFonts w:hint="eastAsia" w:ascii="宋体" w:hAnsi="宋体" w:cs="宋体"/>
          <w:snapToGrid w:val="0"/>
          <w:color w:val="auto"/>
          <w:w w:val="0"/>
          <w:sz w:val="24"/>
          <w:szCs w:val="24"/>
          <w:u w:val="none" w:color="000000"/>
          <w:shd w:val="clear" w:color="000000" w:fill="000000"/>
        </w:rPr>
        <w:t xml:space="preserve"> </w:t>
      </w:r>
      <w:r>
        <w:rPr>
          <w:rFonts w:hint="eastAsia" w:ascii="宋体" w:hAnsi="宋体" w:cs="宋体"/>
          <w:color w:val="auto"/>
          <w:sz w:val="24"/>
          <w:szCs w:val="24"/>
        </w:rPr>
        <w:drawing>
          <wp:inline distT="0" distB="0" distL="114300" distR="114300">
            <wp:extent cx="2353310" cy="1247775"/>
            <wp:effectExtent l="0" t="0" r="8890" b="9525"/>
            <wp:docPr id="1" name="图片 2" descr="1562145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562145506(1)"/>
                    <pic:cNvPicPr>
                      <a:picLocks noChangeAspect="1"/>
                    </pic:cNvPicPr>
                  </pic:nvPicPr>
                  <pic:blipFill>
                    <a:blip r:embed="rId5"/>
                    <a:stretch>
                      <a:fillRect/>
                    </a:stretch>
                  </pic:blipFill>
                  <pic:spPr>
                    <a:xfrm>
                      <a:off x="0" y="0"/>
                      <a:ext cx="2353310" cy="1247775"/>
                    </a:xfrm>
                    <a:prstGeom prst="rect">
                      <a:avLst/>
                    </a:prstGeom>
                    <a:noFill/>
                    <a:ln w="9525">
                      <a:noFill/>
                    </a:ln>
                  </pic:spPr>
                </pic:pic>
              </a:graphicData>
            </a:graphic>
          </wp:inline>
        </w:drawing>
      </w:r>
    </w:p>
    <w:p>
      <w:pPr>
        <w:pStyle w:val="6"/>
        <w:numPr>
          <w:ilvl w:val="0"/>
          <w:numId w:val="4"/>
        </w:numPr>
        <w:spacing w:line="360" w:lineRule="auto"/>
        <w:ind w:firstLineChars="0"/>
        <w:rPr>
          <w:rFonts w:hint="eastAsia" w:ascii="宋体" w:hAnsi="宋体" w:cs="宋体"/>
          <w:color w:val="auto"/>
          <w:sz w:val="24"/>
          <w:szCs w:val="24"/>
        </w:rPr>
      </w:pPr>
      <w:r>
        <w:rPr>
          <w:rFonts w:hint="eastAsia" w:ascii="宋体" w:hAnsi="宋体" w:cs="宋体"/>
          <w:color w:val="auto"/>
          <w:sz w:val="24"/>
          <w:szCs w:val="24"/>
        </w:rPr>
        <w:t>施工单位应在工厂完成展台结构制作及涂料喷刷，搭建现场禁止实施展台结构的加工制作，严禁在场馆内刮腻子、打磨、喷漆，场馆内只可进行结构拼装和美工作业。</w:t>
      </w:r>
    </w:p>
    <w:p>
      <w:pPr>
        <w:pStyle w:val="5"/>
        <w:numPr>
          <w:ilvl w:val="0"/>
          <w:numId w:val="4"/>
        </w:numPr>
        <w:spacing w:line="360" w:lineRule="auto"/>
        <w:rPr>
          <w:rFonts w:hint="eastAsia" w:ascii="宋体" w:hAnsi="宋体" w:cs="宋体"/>
          <w:color w:val="auto"/>
          <w:sz w:val="24"/>
          <w:szCs w:val="24"/>
        </w:rPr>
      </w:pPr>
      <w:r>
        <w:rPr>
          <w:rFonts w:hint="eastAsia" w:ascii="宋体" w:hAnsi="宋体" w:cs="宋体"/>
          <w:color w:val="auto"/>
          <w:sz w:val="24"/>
          <w:szCs w:val="24"/>
        </w:rPr>
        <w:t>搭建木结构展台跨度超过6m时，应至少有一个直径≥100mm且壁厚≥5mm的有效支撑柱，并加法兰盘和底盘。</w:t>
      </w:r>
    </w:p>
    <w:p>
      <w:pPr>
        <w:pStyle w:val="5"/>
        <w:numPr>
          <w:ilvl w:val="0"/>
          <w:numId w:val="4"/>
        </w:numPr>
        <w:spacing w:line="360" w:lineRule="auto"/>
        <w:rPr>
          <w:rFonts w:hint="eastAsia" w:ascii="宋体" w:hAnsi="宋体" w:cs="宋体"/>
          <w:color w:val="auto"/>
          <w:sz w:val="24"/>
          <w:szCs w:val="24"/>
        </w:rPr>
      </w:pPr>
      <w:r>
        <w:rPr>
          <w:rFonts w:hint="eastAsia" w:ascii="宋体" w:hAnsi="宋体" w:cs="宋体"/>
          <w:color w:val="auto"/>
          <w:sz w:val="24"/>
          <w:szCs w:val="24"/>
        </w:rPr>
        <w:t>使用玻璃材料装饰展台应采用厚度不小于8mm的钢化玻璃，大面积使用时应贴明显的安全提示标识。</w:t>
      </w:r>
    </w:p>
    <w:p>
      <w:pPr>
        <w:pStyle w:val="5"/>
        <w:numPr>
          <w:ilvl w:val="0"/>
          <w:numId w:val="4"/>
        </w:numPr>
        <w:spacing w:line="360" w:lineRule="auto"/>
        <w:rPr>
          <w:rFonts w:hint="eastAsia" w:ascii="宋体" w:hAnsi="宋体" w:cs="宋体"/>
          <w:color w:val="auto"/>
          <w:sz w:val="24"/>
          <w:szCs w:val="24"/>
        </w:rPr>
      </w:pPr>
      <w:r>
        <w:rPr>
          <w:rFonts w:hint="eastAsia" w:ascii="宋体" w:hAnsi="宋体" w:cs="宋体"/>
          <w:color w:val="auto"/>
          <w:sz w:val="24"/>
          <w:szCs w:val="24"/>
        </w:rPr>
        <w:t>特装展台不得超过限定高度，在喷淋设备喷头、烟感等场馆设施下方须保持50</w:t>
      </w:r>
      <w:r>
        <w:rPr>
          <w:rFonts w:hint="eastAsia" w:ascii="宋体" w:hAnsi="宋体" w:cs="宋体"/>
          <w:color w:val="auto"/>
          <w:sz w:val="24"/>
          <w:szCs w:val="24"/>
          <w:lang w:val="en-US" w:eastAsia="zh-CN"/>
        </w:rPr>
        <w:t>cm</w:t>
      </w:r>
      <w:r>
        <w:rPr>
          <w:rFonts w:hint="eastAsia" w:ascii="宋体" w:hAnsi="宋体" w:cs="宋体"/>
          <w:color w:val="auto"/>
          <w:sz w:val="24"/>
          <w:szCs w:val="24"/>
        </w:rPr>
        <w:t>的净空。室外搭建展台限制高度4</w:t>
      </w:r>
      <w:r>
        <w:rPr>
          <w:rFonts w:hint="eastAsia" w:ascii="宋体" w:hAnsi="宋体" w:cs="宋体"/>
          <w:color w:val="auto"/>
          <w:sz w:val="24"/>
          <w:szCs w:val="24"/>
          <w:lang w:val="en-US" w:eastAsia="zh-CN"/>
        </w:rPr>
        <w:t>m</w:t>
      </w:r>
      <w:r>
        <w:rPr>
          <w:rFonts w:hint="eastAsia" w:ascii="宋体" w:hAnsi="宋体" w:cs="宋体"/>
          <w:color w:val="auto"/>
          <w:sz w:val="24"/>
          <w:szCs w:val="24"/>
        </w:rPr>
        <w:t>，超过4</w:t>
      </w:r>
      <w:r>
        <w:rPr>
          <w:rFonts w:hint="eastAsia" w:ascii="宋体" w:hAnsi="宋体" w:cs="宋体"/>
          <w:color w:val="auto"/>
          <w:sz w:val="24"/>
          <w:szCs w:val="24"/>
          <w:lang w:val="en-US" w:eastAsia="zh-CN"/>
        </w:rPr>
        <w:t>m</w:t>
      </w:r>
      <w:r>
        <w:rPr>
          <w:rFonts w:hint="eastAsia" w:ascii="宋体" w:hAnsi="宋体" w:cs="宋体"/>
          <w:color w:val="auto"/>
          <w:sz w:val="24"/>
          <w:szCs w:val="24"/>
        </w:rPr>
        <w:t>的展台或搭建双层展台须提供展台细部结构图并加盖有相关资质设计院审核章和国家一级注册结构工程师印章及审核报告，并做好防风措施，确保展台结构的强度、刚度、稳定性以及局部稳定性。</w:t>
      </w:r>
    </w:p>
    <w:p>
      <w:pPr>
        <w:pStyle w:val="5"/>
        <w:numPr>
          <w:ilvl w:val="0"/>
          <w:numId w:val="4"/>
        </w:numPr>
        <w:spacing w:line="360" w:lineRule="auto"/>
        <w:rPr>
          <w:rFonts w:hint="eastAsia" w:ascii="宋体" w:hAnsi="宋体" w:cs="宋体"/>
          <w:color w:val="auto"/>
          <w:sz w:val="24"/>
          <w:szCs w:val="24"/>
        </w:rPr>
      </w:pPr>
      <w:r>
        <w:rPr>
          <w:rFonts w:hint="eastAsia" w:ascii="宋体" w:hAnsi="宋体" w:cs="宋体"/>
          <w:color w:val="auto"/>
          <w:sz w:val="24"/>
          <w:szCs w:val="24"/>
        </w:rPr>
        <w:t>施工单位在施工过程中，展台搭建材料不应超出展台范围1m，应随时清理各类废弃物品，保证馆内消防通道畅通。</w:t>
      </w:r>
    </w:p>
    <w:p>
      <w:pPr>
        <w:pStyle w:val="6"/>
        <w:numPr>
          <w:ilvl w:val="0"/>
          <w:numId w:val="4"/>
        </w:numPr>
        <w:spacing w:line="360" w:lineRule="auto"/>
        <w:ind w:firstLineChars="0"/>
        <w:rPr>
          <w:rFonts w:hint="eastAsia" w:ascii="宋体" w:hAnsi="宋体" w:cs="宋体"/>
          <w:color w:val="auto"/>
          <w:sz w:val="24"/>
          <w:szCs w:val="24"/>
        </w:rPr>
      </w:pPr>
      <w:r>
        <w:rPr>
          <w:rFonts w:hint="eastAsia" w:ascii="宋体" w:hAnsi="宋体" w:cs="宋体"/>
          <w:color w:val="auto"/>
          <w:sz w:val="24"/>
          <w:szCs w:val="24"/>
        </w:rPr>
        <w:t>馆内严禁搭建临时仓库存放展台材料、施工工具等。</w:t>
      </w:r>
    </w:p>
    <w:p>
      <w:pPr>
        <w:pStyle w:val="6"/>
        <w:numPr>
          <w:ilvl w:val="0"/>
          <w:numId w:val="4"/>
        </w:numPr>
        <w:spacing w:line="360" w:lineRule="auto"/>
        <w:ind w:firstLineChars="0"/>
        <w:rPr>
          <w:rFonts w:hint="eastAsia" w:ascii="宋体" w:hAnsi="宋体" w:cs="宋体"/>
          <w:color w:val="auto"/>
          <w:sz w:val="24"/>
          <w:szCs w:val="24"/>
        </w:rPr>
      </w:pPr>
      <w:r>
        <w:rPr>
          <w:rFonts w:hint="eastAsia" w:ascii="宋体" w:hAnsi="宋体" w:cs="宋体"/>
          <w:color w:val="auto"/>
          <w:sz w:val="24"/>
          <w:szCs w:val="24"/>
        </w:rPr>
        <w:t>室外不得搭建迎风向背板、广告位等临建设施。</w:t>
      </w:r>
    </w:p>
    <w:p>
      <w:pPr>
        <w:pStyle w:val="6"/>
        <w:numPr>
          <w:ilvl w:val="0"/>
          <w:numId w:val="4"/>
        </w:numPr>
        <w:spacing w:line="360" w:lineRule="auto"/>
        <w:ind w:firstLineChars="0"/>
        <w:rPr>
          <w:rFonts w:hint="eastAsia" w:ascii="宋体" w:hAnsi="宋体" w:cs="宋体"/>
          <w:color w:val="auto"/>
          <w:sz w:val="24"/>
          <w:szCs w:val="24"/>
        </w:rPr>
      </w:pPr>
      <w:r>
        <w:rPr>
          <w:rFonts w:hint="eastAsia" w:ascii="宋体" w:hAnsi="宋体" w:cs="宋体"/>
          <w:color w:val="auto"/>
          <w:sz w:val="24"/>
          <w:szCs w:val="24"/>
        </w:rPr>
        <w:t>室外搭建门头、广告位等大会设施时，应建立天气预报预警机制，充分考虑气候变化可能造成的影响（如刮风、下雨雪等自然现象），并做好相应防护措施，消灭安全隐患。</w:t>
      </w:r>
    </w:p>
    <w:p>
      <w:pPr>
        <w:pStyle w:val="5"/>
        <w:numPr>
          <w:ilvl w:val="0"/>
          <w:numId w:val="4"/>
        </w:numPr>
        <w:spacing w:line="360" w:lineRule="auto"/>
        <w:rPr>
          <w:rFonts w:hint="eastAsia" w:ascii="宋体" w:hAnsi="宋体" w:cs="宋体"/>
          <w:color w:val="auto"/>
          <w:sz w:val="24"/>
          <w:szCs w:val="24"/>
        </w:rPr>
      </w:pPr>
      <w:r>
        <w:rPr>
          <w:rFonts w:hint="eastAsia" w:ascii="宋体" w:hAnsi="宋体" w:cs="宋体"/>
          <w:color w:val="auto"/>
          <w:sz w:val="24"/>
          <w:szCs w:val="24"/>
        </w:rPr>
        <w:t>室外遇恶劣天气，如：五级以上大风时，应禁止施工作业及室外装卸货物等危险操作行为，并提前做好防风措施，确保人员及物品的安全。</w:t>
      </w:r>
    </w:p>
    <w:p>
      <w:pPr>
        <w:pStyle w:val="5"/>
        <w:numPr>
          <w:ilvl w:val="0"/>
          <w:numId w:val="4"/>
        </w:numPr>
        <w:spacing w:line="360" w:lineRule="auto"/>
        <w:rPr>
          <w:rFonts w:hint="eastAsia" w:ascii="宋体" w:hAnsi="宋体" w:cs="宋体"/>
          <w:color w:val="auto"/>
          <w:sz w:val="24"/>
          <w:szCs w:val="24"/>
        </w:rPr>
      </w:pPr>
      <w:r>
        <w:rPr>
          <w:rFonts w:hint="eastAsia" w:ascii="宋体" w:hAnsi="宋体" w:cs="宋体"/>
          <w:color w:val="auto"/>
          <w:sz w:val="24"/>
          <w:szCs w:val="24"/>
        </w:rPr>
        <w:t xml:space="preserve">施工单位应按展览规定时间进行撤展，在撤展前应确保关闭展台电源，严禁带电施工。 </w:t>
      </w:r>
    </w:p>
    <w:p>
      <w:pPr>
        <w:pStyle w:val="6"/>
        <w:numPr>
          <w:ilvl w:val="0"/>
          <w:numId w:val="4"/>
        </w:numPr>
        <w:spacing w:line="360" w:lineRule="auto"/>
        <w:ind w:firstLineChars="0"/>
        <w:rPr>
          <w:rFonts w:hint="eastAsia" w:ascii="宋体" w:hAnsi="宋体" w:cs="宋体"/>
          <w:color w:val="auto"/>
          <w:sz w:val="24"/>
          <w:szCs w:val="24"/>
        </w:rPr>
      </w:pPr>
      <w:r>
        <w:rPr>
          <w:rFonts w:hint="eastAsia" w:ascii="宋体" w:hAnsi="宋体" w:cs="宋体"/>
          <w:color w:val="auto"/>
          <w:sz w:val="24"/>
          <w:szCs w:val="24"/>
        </w:rPr>
        <w:t>撤展时主场应配备相应工作人员，进行现场安全疏导，确保文明施工，严禁将搭建展台整体推倒、拉倒等不规范施工行为。</w:t>
      </w:r>
    </w:p>
    <w:p>
      <w:pPr>
        <w:pStyle w:val="5"/>
        <w:numPr>
          <w:ilvl w:val="0"/>
          <w:numId w:val="4"/>
        </w:numPr>
        <w:spacing w:line="360" w:lineRule="auto"/>
        <w:rPr>
          <w:rFonts w:hint="eastAsia" w:ascii="宋体" w:hAnsi="宋体" w:cs="宋体"/>
          <w:color w:val="auto"/>
          <w:sz w:val="24"/>
          <w:szCs w:val="24"/>
        </w:rPr>
      </w:pPr>
      <w:r>
        <w:rPr>
          <w:rFonts w:hint="eastAsia" w:ascii="宋体" w:hAnsi="宋体" w:cs="宋体"/>
          <w:color w:val="auto"/>
          <w:sz w:val="24"/>
          <w:szCs w:val="24"/>
        </w:rPr>
        <w:t>撤展时，施工单位应将所有搭建材料全部撤出场馆并清运干净，不得遗留在后货场及场馆外围区域。</w:t>
      </w:r>
    </w:p>
    <w:p>
      <w:pPr>
        <w:pStyle w:val="6"/>
        <w:numPr>
          <w:ilvl w:val="0"/>
          <w:numId w:val="4"/>
        </w:numPr>
        <w:spacing w:line="360" w:lineRule="auto"/>
        <w:ind w:firstLineChars="0"/>
        <w:rPr>
          <w:rFonts w:hint="eastAsia" w:ascii="宋体" w:hAnsi="宋体" w:cs="宋体"/>
          <w:color w:val="auto"/>
          <w:sz w:val="24"/>
          <w:szCs w:val="24"/>
        </w:rPr>
      </w:pPr>
      <w:r>
        <w:rPr>
          <w:rFonts w:hint="eastAsia" w:ascii="宋体" w:hAnsi="宋体" w:cs="宋体"/>
          <w:color w:val="auto"/>
          <w:sz w:val="24"/>
          <w:szCs w:val="24"/>
        </w:rPr>
        <w:t>撤展完毕后，施工单位应申请验馆，经场馆方检查确认合格后方可离场。</w:t>
      </w:r>
    </w:p>
    <w:p>
      <w:pPr>
        <w:pStyle w:val="6"/>
        <w:spacing w:line="360" w:lineRule="auto"/>
        <w:ind w:firstLine="0" w:firstLineChars="0"/>
        <w:rPr>
          <w:rFonts w:hint="eastAsia" w:ascii="宋体" w:hAnsi="宋体" w:cs="宋体"/>
          <w:color w:val="auto"/>
          <w:sz w:val="24"/>
          <w:szCs w:val="24"/>
        </w:rPr>
      </w:pPr>
    </w:p>
    <w:p>
      <w:pPr>
        <w:pStyle w:val="5"/>
        <w:numPr>
          <w:ilvl w:val="0"/>
          <w:numId w:val="1"/>
        </w:numPr>
        <w:spacing w:line="360" w:lineRule="auto"/>
        <w:jc w:val="left"/>
        <w:outlineLvl w:val="0"/>
        <w:rPr>
          <w:rFonts w:hint="eastAsia" w:ascii="宋体" w:hAnsi="宋体" w:cs="宋体"/>
          <w:b/>
          <w:color w:val="auto"/>
          <w:sz w:val="24"/>
          <w:szCs w:val="24"/>
        </w:rPr>
      </w:pPr>
      <w:bookmarkStart w:id="6" w:name="_Toc32689_WPSOffice_Level1"/>
      <w:r>
        <w:rPr>
          <w:rFonts w:hint="eastAsia" w:ascii="宋体" w:hAnsi="宋体" w:cs="宋体"/>
          <w:b/>
          <w:color w:val="auto"/>
          <w:sz w:val="24"/>
          <w:szCs w:val="24"/>
        </w:rPr>
        <w:t>消防安全要求</w:t>
      </w:r>
      <w:bookmarkEnd w:id="6"/>
    </w:p>
    <w:p>
      <w:pPr>
        <w:pStyle w:val="5"/>
        <w:numPr>
          <w:ilvl w:val="0"/>
          <w:numId w:val="5"/>
        </w:numPr>
        <w:spacing w:line="360" w:lineRule="auto"/>
        <w:rPr>
          <w:rFonts w:hint="eastAsia" w:ascii="宋体" w:hAnsi="宋体" w:cs="宋体"/>
          <w:color w:val="auto"/>
          <w:sz w:val="24"/>
          <w:szCs w:val="24"/>
        </w:rPr>
      </w:pPr>
      <w:r>
        <w:rPr>
          <w:rFonts w:hint="eastAsia" w:ascii="宋体" w:hAnsi="宋体" w:cs="宋体"/>
          <w:color w:val="auto"/>
          <w:sz w:val="24"/>
          <w:szCs w:val="24"/>
        </w:rPr>
        <w:t>场馆建筑内严禁吸烟，严禁明火作业，严禁使用油漆、稀料、汽油以及压力容器等易燃、易爆危险物品。</w:t>
      </w:r>
    </w:p>
    <w:p>
      <w:pPr>
        <w:pStyle w:val="5"/>
        <w:numPr>
          <w:ilvl w:val="0"/>
          <w:numId w:val="5"/>
        </w:numPr>
        <w:spacing w:line="360" w:lineRule="auto"/>
        <w:rPr>
          <w:rFonts w:hint="eastAsia" w:ascii="宋体" w:hAnsi="宋体" w:cs="宋体"/>
          <w:color w:val="auto"/>
          <w:sz w:val="24"/>
          <w:szCs w:val="24"/>
        </w:rPr>
      </w:pPr>
      <w:r>
        <w:rPr>
          <w:rFonts w:hint="eastAsia" w:ascii="宋体" w:hAnsi="宋体" w:cs="宋体"/>
          <w:color w:val="auto"/>
          <w:sz w:val="24"/>
          <w:szCs w:val="24"/>
        </w:rPr>
        <w:t>展览活动主通道宽度应不小于5m，辅通道宽度应不小于3m，严禁任何单位和个人以任何方式占用、遮挡消防疏散通道及出入口。</w:t>
      </w:r>
    </w:p>
    <w:p>
      <w:pPr>
        <w:pStyle w:val="5"/>
        <w:numPr>
          <w:ilvl w:val="0"/>
          <w:numId w:val="5"/>
        </w:numPr>
        <w:spacing w:line="360" w:lineRule="auto"/>
        <w:rPr>
          <w:rFonts w:hint="eastAsia" w:ascii="宋体" w:hAnsi="宋体" w:cs="宋体"/>
          <w:color w:val="auto"/>
          <w:sz w:val="24"/>
          <w:szCs w:val="24"/>
        </w:rPr>
      </w:pPr>
      <w:r>
        <w:rPr>
          <w:rFonts w:hint="eastAsia" w:ascii="宋体" w:hAnsi="宋体" w:cs="宋体"/>
          <w:color w:val="auto"/>
          <w:sz w:val="24"/>
          <w:szCs w:val="24"/>
        </w:rPr>
        <w:t>所有临建设施（展台）不得遮挡场馆安全疏散门、消防栓、防火卷帘、配电间、卫生间等场馆基础设施。</w:t>
      </w:r>
    </w:p>
    <w:p>
      <w:pPr>
        <w:pStyle w:val="5"/>
        <w:numPr>
          <w:ilvl w:val="0"/>
          <w:numId w:val="5"/>
        </w:numPr>
        <w:spacing w:line="360" w:lineRule="auto"/>
        <w:rPr>
          <w:rFonts w:hint="eastAsia" w:ascii="宋体" w:hAnsi="宋体" w:cs="宋体"/>
          <w:color w:val="auto"/>
          <w:sz w:val="24"/>
          <w:szCs w:val="24"/>
        </w:rPr>
      </w:pPr>
      <w:r>
        <w:rPr>
          <w:rFonts w:hint="eastAsia" w:ascii="宋体" w:hAnsi="宋体" w:cs="宋体"/>
          <w:color w:val="auto"/>
          <w:sz w:val="24"/>
          <w:szCs w:val="24"/>
        </w:rPr>
        <w:t>所有临建设施（展台）应配备年检合格的灭火器，严格按照消防安全的规定，施工期间每个展台必须按照每30㎡1具、每50㎡2具的标准配备合格有效的5</w:t>
      </w:r>
      <w:r>
        <w:rPr>
          <w:rFonts w:hint="eastAsia" w:ascii="宋体" w:hAnsi="宋体" w:cs="宋体"/>
          <w:color w:val="auto"/>
          <w:sz w:val="24"/>
          <w:szCs w:val="24"/>
          <w:lang w:val="en-US" w:eastAsia="zh-CN"/>
        </w:rPr>
        <w:t>kg</w:t>
      </w:r>
      <w:r>
        <w:rPr>
          <w:rFonts w:hint="eastAsia" w:ascii="宋体" w:hAnsi="宋体" w:cs="宋体"/>
          <w:color w:val="auto"/>
          <w:sz w:val="24"/>
          <w:szCs w:val="24"/>
        </w:rPr>
        <w:t>灭火器。</w:t>
      </w:r>
    </w:p>
    <w:p>
      <w:pPr>
        <w:pStyle w:val="5"/>
        <w:numPr>
          <w:ilvl w:val="0"/>
          <w:numId w:val="5"/>
        </w:numPr>
        <w:spacing w:line="360" w:lineRule="auto"/>
        <w:rPr>
          <w:rFonts w:hint="eastAsia" w:ascii="宋体" w:hAnsi="宋体" w:cs="宋体"/>
          <w:color w:val="auto"/>
          <w:sz w:val="24"/>
          <w:szCs w:val="24"/>
        </w:rPr>
      </w:pPr>
      <w:r>
        <w:rPr>
          <w:rFonts w:hint="eastAsia" w:ascii="宋体" w:hAnsi="宋体" w:cs="宋体"/>
          <w:color w:val="auto"/>
          <w:sz w:val="24"/>
          <w:szCs w:val="24"/>
        </w:rPr>
        <w:t>所有临建设施（展台）搭建装饰材料应达到国家B1级以上防火标准，严禁使用弹力布和针棉织品等易燃材料做装饰。</w:t>
      </w:r>
    </w:p>
    <w:p>
      <w:pPr>
        <w:pStyle w:val="5"/>
        <w:numPr>
          <w:ilvl w:val="0"/>
          <w:numId w:val="5"/>
        </w:numPr>
        <w:spacing w:line="360" w:lineRule="auto"/>
        <w:rPr>
          <w:rFonts w:hint="eastAsia" w:ascii="宋体" w:hAnsi="宋体" w:cs="宋体"/>
          <w:color w:val="auto"/>
          <w:sz w:val="24"/>
          <w:szCs w:val="24"/>
        </w:rPr>
      </w:pPr>
      <w:r>
        <w:rPr>
          <w:rFonts w:hint="eastAsia" w:ascii="宋体" w:hAnsi="宋体" w:cs="宋体"/>
          <w:color w:val="auto"/>
          <w:sz w:val="24"/>
          <w:szCs w:val="24"/>
        </w:rPr>
        <w:t>所有临建设施（展台）木质结构及灯箱内应在进场前喷刷防火涂料，灯箱应留有散热孔。</w:t>
      </w:r>
    </w:p>
    <w:p>
      <w:pPr>
        <w:pStyle w:val="5"/>
        <w:numPr>
          <w:ilvl w:val="0"/>
          <w:numId w:val="5"/>
        </w:numPr>
        <w:spacing w:line="360" w:lineRule="auto"/>
        <w:rPr>
          <w:rFonts w:hint="eastAsia" w:ascii="宋体" w:hAnsi="宋体" w:cs="宋体"/>
          <w:color w:val="auto"/>
          <w:sz w:val="24"/>
          <w:szCs w:val="24"/>
        </w:rPr>
      </w:pPr>
      <w:r>
        <w:rPr>
          <w:rFonts w:hint="eastAsia" w:ascii="宋体" w:hAnsi="宋体" w:cs="宋体"/>
          <w:color w:val="auto"/>
          <w:sz w:val="24"/>
          <w:szCs w:val="24"/>
        </w:rPr>
        <w:t>所有临建设施（展台）、储物间、房间等严禁采用全封闭式顶棚，应至少留有50%的开放面积。</w:t>
      </w:r>
    </w:p>
    <w:p>
      <w:pPr>
        <w:pStyle w:val="5"/>
        <w:numPr>
          <w:ilvl w:val="0"/>
          <w:numId w:val="5"/>
        </w:numPr>
        <w:spacing w:line="360" w:lineRule="auto"/>
        <w:rPr>
          <w:rFonts w:hint="eastAsia" w:ascii="宋体" w:hAnsi="宋体" w:cs="宋体"/>
          <w:color w:val="auto"/>
          <w:sz w:val="24"/>
          <w:szCs w:val="24"/>
        </w:rPr>
      </w:pPr>
      <w:r>
        <w:rPr>
          <w:rFonts w:hint="eastAsia" w:ascii="宋体" w:hAnsi="宋体" w:cs="宋体"/>
          <w:color w:val="auto"/>
          <w:sz w:val="24"/>
          <w:szCs w:val="24"/>
        </w:rPr>
        <w:t>馆内搭建二层或结构复杂的展台以及搭建馆外展台时须提供展台细部结构图并加盖有相关资质设计院审核章和国家一级注册结构工程师印章及审核报告。从设计到施工应充分考虑展台的安全性，确保搭建展台各连接点及展台整体结构的牢固性。二层面积须小于整个展位面积的1/3，</w:t>
      </w:r>
      <w:bookmarkStart w:id="7" w:name="_Hlk16753303"/>
      <w:r>
        <w:rPr>
          <w:rFonts w:hint="eastAsia" w:ascii="宋体" w:hAnsi="宋体" w:cs="宋体"/>
          <w:color w:val="auto"/>
          <w:sz w:val="24"/>
          <w:szCs w:val="24"/>
        </w:rPr>
        <w:t>严禁二层封顶，</w:t>
      </w:r>
      <w:bookmarkEnd w:id="7"/>
      <w:r>
        <w:rPr>
          <w:rFonts w:hint="eastAsia" w:ascii="宋体" w:hAnsi="宋体" w:cs="宋体"/>
          <w:color w:val="auto"/>
          <w:sz w:val="24"/>
          <w:szCs w:val="24"/>
        </w:rPr>
        <w:t>超过50</w:t>
      </w:r>
      <w:r>
        <w:rPr>
          <w:rFonts w:hint="eastAsia" w:ascii="宋体" w:hAnsi="宋体" w:cs="宋体"/>
          <w:color w:val="auto"/>
          <w:sz w:val="24"/>
          <w:szCs w:val="24"/>
          <w:lang w:val="en-US" w:eastAsia="zh-CN"/>
        </w:rPr>
        <w:t>㎡</w:t>
      </w:r>
      <w:r>
        <w:rPr>
          <w:rFonts w:hint="eastAsia" w:ascii="宋体" w:hAnsi="宋体" w:cs="宋体"/>
          <w:color w:val="auto"/>
          <w:sz w:val="24"/>
          <w:szCs w:val="24"/>
        </w:rPr>
        <w:t>以上需安装至少2个楼梯，严禁二层封顶。</w:t>
      </w:r>
    </w:p>
    <w:p>
      <w:pPr>
        <w:pStyle w:val="5"/>
        <w:spacing w:line="360" w:lineRule="auto"/>
        <w:rPr>
          <w:rFonts w:hint="eastAsia" w:ascii="宋体" w:hAnsi="宋体" w:cs="宋体"/>
          <w:color w:val="auto"/>
          <w:sz w:val="24"/>
          <w:szCs w:val="24"/>
        </w:rPr>
      </w:pPr>
    </w:p>
    <w:p>
      <w:pPr>
        <w:pStyle w:val="5"/>
        <w:numPr>
          <w:ilvl w:val="0"/>
          <w:numId w:val="1"/>
        </w:numPr>
        <w:spacing w:line="360" w:lineRule="auto"/>
        <w:jc w:val="left"/>
        <w:outlineLvl w:val="0"/>
        <w:rPr>
          <w:rFonts w:hint="eastAsia" w:ascii="宋体" w:hAnsi="宋体" w:cs="宋体"/>
          <w:b/>
          <w:color w:val="auto"/>
          <w:sz w:val="24"/>
          <w:szCs w:val="24"/>
        </w:rPr>
      </w:pPr>
      <w:bookmarkStart w:id="8" w:name="_Toc32576_WPSOffice_Level1"/>
      <w:r>
        <w:rPr>
          <w:rFonts w:hint="eastAsia" w:ascii="宋体" w:hAnsi="宋体" w:cs="宋体"/>
          <w:b/>
          <w:color w:val="auto"/>
          <w:sz w:val="24"/>
          <w:szCs w:val="24"/>
        </w:rPr>
        <w:t>水电气要求</w:t>
      </w:r>
      <w:bookmarkEnd w:id="8"/>
    </w:p>
    <w:p>
      <w:pPr>
        <w:pStyle w:val="5"/>
        <w:numPr>
          <w:ilvl w:val="0"/>
          <w:numId w:val="6"/>
        </w:numPr>
        <w:spacing w:line="360" w:lineRule="auto"/>
        <w:rPr>
          <w:rFonts w:hint="eastAsia" w:ascii="宋体" w:hAnsi="宋体" w:cs="宋体"/>
          <w:color w:val="auto"/>
          <w:sz w:val="24"/>
          <w:szCs w:val="24"/>
        </w:rPr>
      </w:pPr>
      <w:r>
        <w:rPr>
          <w:rFonts w:hint="eastAsia" w:ascii="宋体" w:hAnsi="宋体" w:cs="宋体"/>
          <w:color w:val="auto"/>
          <w:sz w:val="24"/>
          <w:szCs w:val="24"/>
        </w:rPr>
        <w:t>场馆基础电源应为三相五线制。</w:t>
      </w:r>
    </w:p>
    <w:p>
      <w:pPr>
        <w:pStyle w:val="5"/>
        <w:numPr>
          <w:ilvl w:val="0"/>
          <w:numId w:val="6"/>
        </w:numPr>
        <w:spacing w:line="360" w:lineRule="auto"/>
        <w:rPr>
          <w:rFonts w:hint="eastAsia" w:ascii="宋体" w:hAnsi="宋体" w:cs="宋体"/>
          <w:color w:val="auto"/>
          <w:sz w:val="24"/>
          <w:szCs w:val="24"/>
        </w:rPr>
      </w:pPr>
      <w:r>
        <w:rPr>
          <w:rFonts w:hint="eastAsia" w:ascii="宋体" w:hAnsi="宋体" w:cs="宋体"/>
          <w:color w:val="auto"/>
          <w:sz w:val="24"/>
          <w:szCs w:val="24"/>
        </w:rPr>
        <w:t>照明灯具及电器设施应符合国家安全标准和消防安全要求，并按照GB 19517-2009 国家电气设备安全技术规范施工作业。</w:t>
      </w:r>
    </w:p>
    <w:p>
      <w:pPr>
        <w:pStyle w:val="5"/>
        <w:numPr>
          <w:ilvl w:val="0"/>
          <w:numId w:val="6"/>
        </w:numPr>
        <w:spacing w:line="360" w:lineRule="auto"/>
        <w:rPr>
          <w:rFonts w:hint="eastAsia" w:ascii="宋体" w:hAnsi="宋体" w:cs="宋体"/>
          <w:color w:val="auto"/>
          <w:sz w:val="24"/>
          <w:szCs w:val="24"/>
        </w:rPr>
      </w:pPr>
      <w:r>
        <w:rPr>
          <w:rFonts w:hint="eastAsia" w:ascii="宋体" w:hAnsi="宋体" w:cs="宋体"/>
          <w:color w:val="auto"/>
          <w:sz w:val="24"/>
          <w:szCs w:val="24"/>
        </w:rPr>
        <w:t>电源接驳应由专业电工操作，且必须持证上岗，禁止非专业人员操作。</w:t>
      </w:r>
    </w:p>
    <w:p>
      <w:pPr>
        <w:pStyle w:val="5"/>
        <w:numPr>
          <w:ilvl w:val="0"/>
          <w:numId w:val="6"/>
        </w:numPr>
        <w:spacing w:line="360" w:lineRule="auto"/>
        <w:rPr>
          <w:rFonts w:hint="eastAsia" w:ascii="宋体" w:hAnsi="宋体" w:cs="宋体"/>
          <w:color w:val="auto"/>
          <w:sz w:val="24"/>
          <w:szCs w:val="24"/>
        </w:rPr>
      </w:pPr>
      <w:r>
        <w:rPr>
          <w:rFonts w:hint="eastAsia" w:ascii="宋体" w:hAnsi="宋体" w:cs="宋体"/>
          <w:color w:val="auto"/>
          <w:sz w:val="24"/>
          <w:szCs w:val="24"/>
        </w:rPr>
        <w:t>展台使用的水、气，应保留每天送断水、气的操作、检修口。</w:t>
      </w:r>
    </w:p>
    <w:p>
      <w:pPr>
        <w:pStyle w:val="5"/>
        <w:numPr>
          <w:ilvl w:val="0"/>
          <w:numId w:val="6"/>
        </w:numPr>
        <w:spacing w:line="360" w:lineRule="auto"/>
        <w:rPr>
          <w:rFonts w:hint="eastAsia" w:ascii="宋体" w:hAnsi="宋体" w:cs="宋体"/>
          <w:color w:val="auto"/>
          <w:sz w:val="24"/>
          <w:szCs w:val="24"/>
        </w:rPr>
      </w:pPr>
      <w:r>
        <w:rPr>
          <w:rFonts w:hint="eastAsia" w:ascii="宋体" w:hAnsi="宋体" w:cs="宋体"/>
          <w:color w:val="auto"/>
          <w:sz w:val="24"/>
          <w:szCs w:val="24"/>
        </w:rPr>
        <w:t>展台应配备二级电箱，各部件齐全完整；所有电箱不得放置储物间及封闭空间内，须安装在展台明显位置，且距地不低于20cm。</w:t>
      </w:r>
    </w:p>
    <w:p>
      <w:pPr>
        <w:pStyle w:val="5"/>
        <w:numPr>
          <w:ilvl w:val="0"/>
          <w:numId w:val="6"/>
        </w:numPr>
        <w:spacing w:line="360" w:lineRule="auto"/>
        <w:rPr>
          <w:rFonts w:hint="eastAsia" w:ascii="宋体" w:hAnsi="宋体" w:cs="宋体"/>
          <w:color w:val="auto"/>
          <w:sz w:val="24"/>
          <w:szCs w:val="24"/>
        </w:rPr>
      </w:pPr>
      <w:r>
        <w:rPr>
          <w:rFonts w:hint="eastAsia" w:ascii="宋体" w:hAnsi="宋体" w:cs="宋体"/>
          <w:color w:val="auto"/>
          <w:sz w:val="24"/>
          <w:szCs w:val="24"/>
        </w:rPr>
        <w:t>展台二级电箱总开关应有漏电保护且与申报规格相匹配，并做好接地保护。</w:t>
      </w:r>
    </w:p>
    <w:p>
      <w:pPr>
        <w:pStyle w:val="5"/>
        <w:numPr>
          <w:ilvl w:val="0"/>
          <w:numId w:val="6"/>
        </w:numPr>
        <w:spacing w:line="360" w:lineRule="auto"/>
        <w:rPr>
          <w:rFonts w:hint="eastAsia" w:ascii="宋体" w:hAnsi="宋体" w:cs="宋体"/>
          <w:color w:val="auto"/>
          <w:sz w:val="24"/>
          <w:szCs w:val="24"/>
        </w:rPr>
      </w:pPr>
      <w:r>
        <w:rPr>
          <w:rFonts w:hint="eastAsia" w:ascii="宋体" w:hAnsi="宋体" w:cs="宋体"/>
          <w:color w:val="auto"/>
          <w:sz w:val="24"/>
          <w:szCs w:val="24"/>
        </w:rPr>
        <w:t>电器连接应使用双层绝缘护套线，连接端子应完全封闭，不得裸露。</w:t>
      </w:r>
    </w:p>
    <w:p>
      <w:pPr>
        <w:pStyle w:val="5"/>
        <w:numPr>
          <w:ilvl w:val="0"/>
          <w:numId w:val="6"/>
        </w:numPr>
        <w:spacing w:line="360" w:lineRule="auto"/>
        <w:rPr>
          <w:rFonts w:hint="eastAsia" w:ascii="宋体" w:hAnsi="宋体" w:cs="宋体"/>
          <w:color w:val="auto"/>
          <w:sz w:val="24"/>
          <w:szCs w:val="24"/>
        </w:rPr>
      </w:pPr>
      <w:r>
        <w:rPr>
          <w:rFonts w:hint="eastAsia" w:ascii="宋体" w:hAnsi="宋体" w:cs="宋体"/>
          <w:color w:val="auto"/>
          <w:sz w:val="24"/>
          <w:szCs w:val="24"/>
        </w:rPr>
        <w:t>电线穿过地面时，应做过桥保护。</w:t>
      </w:r>
    </w:p>
    <w:p>
      <w:pPr>
        <w:pStyle w:val="5"/>
        <w:numPr>
          <w:ilvl w:val="0"/>
          <w:numId w:val="6"/>
        </w:numPr>
        <w:spacing w:line="360" w:lineRule="auto"/>
        <w:rPr>
          <w:rFonts w:hint="eastAsia" w:ascii="宋体" w:hAnsi="宋体" w:cs="宋体"/>
          <w:color w:val="auto"/>
          <w:sz w:val="24"/>
          <w:szCs w:val="24"/>
        </w:rPr>
      </w:pPr>
      <w:r>
        <w:rPr>
          <w:rFonts w:hint="eastAsia" w:ascii="宋体" w:hAnsi="宋体" w:cs="宋体"/>
          <w:color w:val="auto"/>
          <w:sz w:val="24"/>
          <w:szCs w:val="24"/>
        </w:rPr>
        <w:t>镇流器等电器元件与木结构接触时，应采用非燃烧材料做隔热保护。</w:t>
      </w:r>
    </w:p>
    <w:p>
      <w:pPr>
        <w:pStyle w:val="5"/>
        <w:numPr>
          <w:ilvl w:val="0"/>
          <w:numId w:val="6"/>
        </w:numPr>
        <w:spacing w:line="360" w:lineRule="auto"/>
        <w:rPr>
          <w:rFonts w:hint="eastAsia" w:ascii="宋体" w:hAnsi="宋体" w:cs="宋体"/>
          <w:color w:val="auto"/>
          <w:sz w:val="24"/>
          <w:szCs w:val="24"/>
        </w:rPr>
      </w:pPr>
      <w:r>
        <w:rPr>
          <w:rFonts w:hint="eastAsia" w:ascii="宋体" w:hAnsi="宋体" w:cs="宋体"/>
          <w:color w:val="auto"/>
          <w:sz w:val="24"/>
          <w:szCs w:val="24"/>
        </w:rPr>
        <w:t>室外安装灯具、插座、配电箱等用电设备应采取安全有效的防雨措施。</w:t>
      </w:r>
    </w:p>
    <w:p>
      <w:pPr>
        <w:pStyle w:val="5"/>
        <w:numPr>
          <w:ilvl w:val="0"/>
          <w:numId w:val="6"/>
        </w:numPr>
        <w:spacing w:line="360" w:lineRule="auto"/>
        <w:rPr>
          <w:rFonts w:hint="eastAsia" w:ascii="宋体" w:hAnsi="宋体" w:cs="宋体"/>
          <w:color w:val="auto"/>
          <w:sz w:val="24"/>
          <w:szCs w:val="24"/>
        </w:rPr>
      </w:pPr>
      <w:r>
        <w:rPr>
          <w:rFonts w:hint="eastAsia" w:ascii="宋体" w:hAnsi="宋体" w:cs="宋体"/>
          <w:color w:val="auto"/>
          <w:sz w:val="24"/>
          <w:szCs w:val="24"/>
        </w:rPr>
        <w:t>开展期间各施工单位应安排专业电工值守，每天清馆前确保已关闭展台用电设施开关，切断电源后方可离场。</w:t>
      </w:r>
    </w:p>
    <w:p>
      <w:pPr>
        <w:pStyle w:val="5"/>
        <w:numPr>
          <w:ilvl w:val="0"/>
          <w:numId w:val="6"/>
        </w:numPr>
        <w:spacing w:line="360" w:lineRule="auto"/>
        <w:rPr>
          <w:rFonts w:hint="eastAsia" w:ascii="宋体" w:hAnsi="宋体" w:cs="宋体"/>
          <w:color w:val="auto"/>
          <w:sz w:val="24"/>
          <w:szCs w:val="24"/>
        </w:rPr>
      </w:pPr>
      <w:r>
        <w:rPr>
          <w:rFonts w:hint="eastAsia" w:ascii="宋体" w:hAnsi="宋体" w:cs="宋体"/>
          <w:color w:val="auto"/>
          <w:sz w:val="24"/>
          <w:szCs w:val="24"/>
        </w:rPr>
        <w:t>严禁使用碘钨灯、高压汞灯等高温灯具。</w:t>
      </w:r>
    </w:p>
    <w:p>
      <w:pPr>
        <w:pStyle w:val="5"/>
        <w:numPr>
          <w:ilvl w:val="0"/>
          <w:numId w:val="6"/>
        </w:numPr>
        <w:spacing w:line="360" w:lineRule="auto"/>
        <w:rPr>
          <w:rFonts w:hint="eastAsia" w:ascii="宋体" w:hAnsi="宋体" w:cs="宋体"/>
          <w:color w:val="auto"/>
          <w:sz w:val="24"/>
          <w:szCs w:val="24"/>
        </w:rPr>
      </w:pPr>
      <w:r>
        <w:rPr>
          <w:rFonts w:hint="eastAsia" w:ascii="宋体" w:hAnsi="宋体" w:cs="宋体"/>
          <w:color w:val="auto"/>
          <w:sz w:val="24"/>
          <w:szCs w:val="24"/>
        </w:rPr>
        <w:t>严禁使用电熨斗、电水壶等大功率电器。</w:t>
      </w:r>
    </w:p>
    <w:p>
      <w:pPr>
        <w:pStyle w:val="5"/>
        <w:numPr>
          <w:ilvl w:val="0"/>
          <w:numId w:val="6"/>
        </w:numPr>
        <w:spacing w:line="360" w:lineRule="auto"/>
        <w:rPr>
          <w:rFonts w:hint="eastAsia" w:ascii="宋体" w:hAnsi="宋体" w:cs="宋体"/>
          <w:color w:val="auto"/>
          <w:sz w:val="24"/>
          <w:szCs w:val="24"/>
        </w:rPr>
      </w:pPr>
      <w:r>
        <w:rPr>
          <w:rFonts w:hint="eastAsia" w:ascii="宋体" w:hAnsi="宋体" w:cs="宋体"/>
          <w:color w:val="auto"/>
          <w:sz w:val="24"/>
          <w:szCs w:val="24"/>
        </w:rPr>
        <w:t>展览期间严禁使用空压机、储气罐等压力容器。如有特殊需求应提前申报，经场馆方许可并放置馆外指定位置，确保安全使用。</w:t>
      </w:r>
    </w:p>
    <w:p>
      <w:pPr>
        <w:pStyle w:val="5"/>
        <w:numPr>
          <w:ilvl w:val="0"/>
          <w:numId w:val="6"/>
        </w:numPr>
        <w:spacing w:line="360" w:lineRule="auto"/>
        <w:rPr>
          <w:rFonts w:hint="eastAsia" w:ascii="宋体" w:hAnsi="宋体" w:cs="宋体"/>
          <w:color w:val="auto"/>
          <w:sz w:val="24"/>
          <w:szCs w:val="24"/>
        </w:rPr>
      </w:pPr>
      <w:r>
        <w:rPr>
          <w:rFonts w:hint="eastAsia" w:ascii="宋体" w:hAnsi="宋体" w:cs="宋体"/>
          <w:color w:val="auto"/>
          <w:sz w:val="24"/>
          <w:szCs w:val="24"/>
        </w:rPr>
        <w:t>场馆提供的24小时供电，不能作为不间断电源使用；如有24小时用电需求，应留有值班人员看守。</w:t>
      </w:r>
    </w:p>
    <w:p>
      <w:pPr>
        <w:pStyle w:val="5"/>
        <w:spacing w:line="360" w:lineRule="auto"/>
        <w:rPr>
          <w:rFonts w:hint="eastAsia" w:ascii="宋体" w:hAnsi="宋体" w:cs="宋体"/>
          <w:color w:val="auto"/>
          <w:sz w:val="24"/>
          <w:szCs w:val="24"/>
        </w:rPr>
      </w:pPr>
    </w:p>
    <w:p>
      <w:pPr>
        <w:pStyle w:val="5"/>
        <w:numPr>
          <w:ilvl w:val="0"/>
          <w:numId w:val="1"/>
        </w:numPr>
        <w:spacing w:line="360" w:lineRule="auto"/>
        <w:jc w:val="left"/>
        <w:outlineLvl w:val="0"/>
        <w:rPr>
          <w:rFonts w:hint="eastAsia" w:ascii="宋体" w:hAnsi="宋体" w:cs="宋体"/>
          <w:b/>
          <w:color w:val="auto"/>
          <w:sz w:val="24"/>
          <w:szCs w:val="24"/>
        </w:rPr>
      </w:pPr>
      <w:bookmarkStart w:id="9" w:name="_Toc2066_WPSOffice_Level1"/>
      <w:r>
        <w:rPr>
          <w:rFonts w:hint="eastAsia" w:ascii="宋体" w:hAnsi="宋体" w:cs="宋体"/>
          <w:b/>
          <w:color w:val="auto"/>
          <w:sz w:val="24"/>
          <w:szCs w:val="24"/>
        </w:rPr>
        <w:t>使用升降设备时应注意以下事项：</w:t>
      </w:r>
      <w:bookmarkEnd w:id="9"/>
    </w:p>
    <w:p>
      <w:pPr>
        <w:pStyle w:val="5"/>
        <w:numPr>
          <w:ilvl w:val="0"/>
          <w:numId w:val="7"/>
        </w:numPr>
        <w:spacing w:line="360" w:lineRule="auto"/>
        <w:rPr>
          <w:rFonts w:hint="eastAsia" w:ascii="宋体" w:hAnsi="宋体" w:cs="宋体"/>
          <w:color w:val="auto"/>
          <w:sz w:val="24"/>
          <w:szCs w:val="24"/>
        </w:rPr>
      </w:pPr>
      <w:r>
        <w:rPr>
          <w:rFonts w:hint="eastAsia" w:ascii="宋体" w:hAnsi="宋体" w:cs="宋体"/>
          <w:color w:val="auto"/>
          <w:sz w:val="24"/>
          <w:szCs w:val="24"/>
        </w:rPr>
        <w:t>施工单位使用升降机时应有专业人员进行操作。作业前应认真排查施工区域潜在的危险，经确认安全后方可开始施工作业。</w:t>
      </w:r>
    </w:p>
    <w:p>
      <w:pPr>
        <w:pStyle w:val="5"/>
        <w:numPr>
          <w:ilvl w:val="0"/>
          <w:numId w:val="7"/>
        </w:numPr>
        <w:spacing w:line="360" w:lineRule="auto"/>
        <w:rPr>
          <w:rFonts w:hint="eastAsia" w:ascii="宋体" w:hAnsi="宋体" w:cs="宋体"/>
          <w:color w:val="auto"/>
          <w:sz w:val="24"/>
          <w:szCs w:val="24"/>
        </w:rPr>
      </w:pPr>
      <w:r>
        <w:rPr>
          <w:rFonts w:hint="eastAsia" w:ascii="宋体" w:hAnsi="宋体" w:cs="宋体"/>
          <w:color w:val="auto"/>
          <w:sz w:val="24"/>
          <w:szCs w:val="24"/>
        </w:rPr>
        <w:t>使用升降平台前操作人员应全面检查机器设备，确保升降架上下自如，螺丝牢固，钢丝绳无锈蚀、润滑良好。</w:t>
      </w:r>
    </w:p>
    <w:p>
      <w:pPr>
        <w:pStyle w:val="5"/>
        <w:numPr>
          <w:ilvl w:val="0"/>
          <w:numId w:val="7"/>
        </w:numPr>
        <w:spacing w:line="360" w:lineRule="auto"/>
        <w:rPr>
          <w:rFonts w:hint="eastAsia" w:ascii="宋体" w:hAnsi="宋体" w:cs="宋体"/>
          <w:color w:val="auto"/>
          <w:sz w:val="24"/>
          <w:szCs w:val="24"/>
        </w:rPr>
      </w:pPr>
      <w:r>
        <w:rPr>
          <w:rFonts w:hint="eastAsia" w:ascii="宋体" w:hAnsi="宋体" w:cs="宋体"/>
          <w:color w:val="auto"/>
          <w:sz w:val="24"/>
          <w:szCs w:val="24"/>
        </w:rPr>
        <w:t>升降平台应置于平整地面，不允许在陡坡上使用。使用时，应打开稳定支架，检查支架稳固性，防止升降平台自行滑动。</w:t>
      </w:r>
    </w:p>
    <w:p>
      <w:pPr>
        <w:pStyle w:val="5"/>
        <w:numPr>
          <w:ilvl w:val="0"/>
          <w:numId w:val="7"/>
        </w:numPr>
        <w:spacing w:line="360" w:lineRule="auto"/>
        <w:rPr>
          <w:rFonts w:hint="eastAsia" w:ascii="宋体" w:hAnsi="宋体" w:cs="宋体"/>
          <w:color w:val="auto"/>
          <w:sz w:val="24"/>
          <w:szCs w:val="24"/>
        </w:rPr>
      </w:pPr>
      <w:r>
        <w:rPr>
          <w:rFonts w:hint="eastAsia" w:ascii="宋体" w:hAnsi="宋体" w:cs="宋体"/>
          <w:color w:val="auto"/>
          <w:sz w:val="24"/>
          <w:szCs w:val="24"/>
        </w:rPr>
        <w:t>施工时升降平台顶部的工作人员应在工作斗内工作，并采取必要的人身保护措施，不得骑跨、站在防护栏上，严禁超出工作斗的额定载荷升降作业。</w:t>
      </w:r>
    </w:p>
    <w:p>
      <w:pPr>
        <w:pStyle w:val="5"/>
        <w:numPr>
          <w:ilvl w:val="0"/>
          <w:numId w:val="7"/>
        </w:numPr>
        <w:spacing w:line="360" w:lineRule="auto"/>
        <w:rPr>
          <w:rFonts w:hint="eastAsia" w:ascii="宋体" w:hAnsi="宋体" w:cs="宋体"/>
          <w:color w:val="auto"/>
          <w:sz w:val="24"/>
          <w:szCs w:val="24"/>
        </w:rPr>
      </w:pPr>
      <w:r>
        <w:rPr>
          <w:rFonts w:hint="eastAsia" w:ascii="宋体" w:hAnsi="宋体" w:cs="宋体"/>
          <w:color w:val="auto"/>
          <w:sz w:val="24"/>
          <w:szCs w:val="24"/>
        </w:rPr>
        <w:t>升降平台顶部平台上不允许放置各种梯子或其他垫高物品，工作人员向外探身工作时，应保证双脚着地，否则应移动升降平台。</w:t>
      </w:r>
    </w:p>
    <w:p>
      <w:pPr>
        <w:pStyle w:val="5"/>
        <w:numPr>
          <w:ilvl w:val="0"/>
          <w:numId w:val="7"/>
        </w:numPr>
        <w:spacing w:line="360" w:lineRule="auto"/>
        <w:rPr>
          <w:rFonts w:hint="eastAsia" w:ascii="宋体" w:hAnsi="宋体" w:cs="宋体"/>
          <w:color w:val="auto"/>
          <w:sz w:val="24"/>
          <w:szCs w:val="24"/>
        </w:rPr>
      </w:pPr>
      <w:r>
        <w:rPr>
          <w:rFonts w:hint="eastAsia" w:ascii="宋体" w:hAnsi="宋体" w:cs="宋体"/>
          <w:color w:val="auto"/>
          <w:sz w:val="24"/>
          <w:szCs w:val="24"/>
        </w:rPr>
        <w:t>升降平台升起时，应注意与架空电线保持规定的安全距离；升降平台工作人员上下传递工具或材料时，应使用绳子吊运严禁抛递工具和材料，平台上的工作人员应采取安全措施防止工具或材料高空坠落伤及他人。</w:t>
      </w:r>
    </w:p>
    <w:p>
      <w:pPr>
        <w:pStyle w:val="5"/>
        <w:numPr>
          <w:ilvl w:val="0"/>
          <w:numId w:val="7"/>
        </w:numPr>
        <w:spacing w:line="360" w:lineRule="auto"/>
        <w:rPr>
          <w:rFonts w:hint="eastAsia" w:ascii="宋体" w:hAnsi="宋体" w:cs="宋体"/>
          <w:color w:val="auto"/>
          <w:sz w:val="24"/>
          <w:szCs w:val="24"/>
        </w:rPr>
      </w:pPr>
      <w:r>
        <w:rPr>
          <w:rFonts w:hint="eastAsia" w:ascii="宋体" w:hAnsi="宋体" w:cs="宋体"/>
          <w:color w:val="auto"/>
          <w:sz w:val="24"/>
          <w:szCs w:val="24"/>
        </w:rPr>
        <w:t>电动升降平台要保证接地良好，电源线的防护层要完整，铜线不得外露；电源线横穿通道时应做好防护措施。</w:t>
      </w:r>
    </w:p>
    <w:p>
      <w:pPr>
        <w:pStyle w:val="5"/>
        <w:numPr>
          <w:ilvl w:val="0"/>
          <w:numId w:val="7"/>
        </w:numPr>
        <w:spacing w:line="360" w:lineRule="auto"/>
        <w:rPr>
          <w:rFonts w:hint="eastAsia" w:ascii="宋体" w:hAnsi="宋体" w:cs="宋体"/>
          <w:color w:val="auto"/>
          <w:sz w:val="24"/>
          <w:szCs w:val="24"/>
        </w:rPr>
      </w:pPr>
      <w:r>
        <w:rPr>
          <w:rFonts w:hint="eastAsia" w:ascii="宋体" w:hAnsi="宋体" w:cs="宋体"/>
          <w:color w:val="auto"/>
          <w:sz w:val="24"/>
          <w:szCs w:val="24"/>
        </w:rPr>
        <w:t>雨天室外禁止使用电动升降平台。</w:t>
      </w:r>
    </w:p>
    <w:p>
      <w:pPr>
        <w:pStyle w:val="5"/>
        <w:spacing w:line="360" w:lineRule="auto"/>
        <w:rPr>
          <w:rFonts w:hint="eastAsia" w:ascii="宋体" w:hAnsi="宋体" w:cs="宋体"/>
          <w:color w:val="auto"/>
          <w:sz w:val="24"/>
          <w:szCs w:val="24"/>
        </w:rPr>
      </w:pPr>
    </w:p>
    <w:p>
      <w:pPr>
        <w:pStyle w:val="5"/>
        <w:numPr>
          <w:ilvl w:val="0"/>
          <w:numId w:val="1"/>
        </w:numPr>
        <w:spacing w:line="360" w:lineRule="auto"/>
        <w:jc w:val="left"/>
        <w:outlineLvl w:val="0"/>
        <w:rPr>
          <w:rFonts w:hint="eastAsia" w:ascii="宋体" w:hAnsi="宋体" w:cs="宋体"/>
          <w:b/>
          <w:color w:val="auto"/>
          <w:sz w:val="24"/>
          <w:szCs w:val="24"/>
        </w:rPr>
      </w:pPr>
      <w:bookmarkStart w:id="10" w:name="_Toc14926_WPSOffice_Level1"/>
      <w:r>
        <w:rPr>
          <w:rFonts w:hint="eastAsia" w:ascii="宋体" w:hAnsi="宋体" w:cs="宋体"/>
          <w:b/>
          <w:color w:val="auto"/>
          <w:sz w:val="24"/>
          <w:szCs w:val="24"/>
        </w:rPr>
        <w:t>吊装安全规定</w:t>
      </w:r>
      <w:bookmarkEnd w:id="10"/>
    </w:p>
    <w:p>
      <w:pPr>
        <w:pStyle w:val="5"/>
        <w:numPr>
          <w:ilvl w:val="0"/>
          <w:numId w:val="8"/>
        </w:numPr>
        <w:spacing w:line="360" w:lineRule="auto"/>
        <w:rPr>
          <w:rFonts w:hint="eastAsia" w:ascii="宋体" w:hAnsi="宋体" w:cs="宋体"/>
          <w:color w:val="auto"/>
          <w:sz w:val="24"/>
          <w:szCs w:val="24"/>
        </w:rPr>
      </w:pPr>
      <w:r>
        <w:rPr>
          <w:rFonts w:hint="eastAsia" w:ascii="宋体" w:hAnsi="宋体" w:cs="宋体"/>
          <w:color w:val="auto"/>
          <w:sz w:val="24"/>
          <w:szCs w:val="24"/>
        </w:rPr>
        <w:t>操作人员必须经过专业安全技术培训，经考试合格后，持证上岗。</w:t>
      </w:r>
    </w:p>
    <w:p>
      <w:pPr>
        <w:pStyle w:val="5"/>
        <w:numPr>
          <w:ilvl w:val="0"/>
          <w:numId w:val="8"/>
        </w:numPr>
        <w:spacing w:line="360" w:lineRule="auto"/>
        <w:rPr>
          <w:rFonts w:hint="eastAsia" w:ascii="宋体" w:hAnsi="宋体" w:cs="宋体"/>
          <w:color w:val="auto"/>
          <w:sz w:val="24"/>
          <w:szCs w:val="24"/>
        </w:rPr>
      </w:pPr>
      <w:r>
        <w:rPr>
          <w:rFonts w:hint="eastAsia" w:ascii="宋体" w:hAnsi="宋体" w:cs="宋体"/>
          <w:color w:val="auto"/>
          <w:sz w:val="24"/>
          <w:szCs w:val="24"/>
        </w:rPr>
        <w:t>吊装现场应设置警戒标志，并设专人监护。</w:t>
      </w:r>
    </w:p>
    <w:p>
      <w:pPr>
        <w:pStyle w:val="5"/>
        <w:numPr>
          <w:ilvl w:val="0"/>
          <w:numId w:val="8"/>
        </w:numPr>
        <w:spacing w:line="360" w:lineRule="auto"/>
        <w:rPr>
          <w:rFonts w:hint="eastAsia" w:ascii="宋体" w:hAnsi="宋体" w:cs="宋体"/>
          <w:color w:val="auto"/>
          <w:sz w:val="24"/>
          <w:szCs w:val="24"/>
        </w:rPr>
      </w:pPr>
      <w:r>
        <w:rPr>
          <w:rFonts w:hint="eastAsia" w:ascii="宋体" w:hAnsi="宋体" w:cs="宋体"/>
          <w:color w:val="auto"/>
          <w:sz w:val="24"/>
          <w:szCs w:val="24"/>
        </w:rPr>
        <w:t>大雪、大雾、暴雨及六级以上大风时，不应露天作业。</w:t>
      </w:r>
    </w:p>
    <w:p>
      <w:pPr>
        <w:pStyle w:val="5"/>
        <w:numPr>
          <w:ilvl w:val="0"/>
          <w:numId w:val="8"/>
        </w:numPr>
        <w:spacing w:line="360" w:lineRule="auto"/>
        <w:rPr>
          <w:rFonts w:hint="eastAsia" w:ascii="宋体" w:hAnsi="宋体" w:cs="宋体"/>
          <w:color w:val="auto"/>
          <w:sz w:val="24"/>
          <w:szCs w:val="24"/>
        </w:rPr>
      </w:pPr>
      <w:r>
        <w:rPr>
          <w:rFonts w:hint="eastAsia" w:ascii="宋体" w:hAnsi="宋体" w:cs="宋体"/>
          <w:color w:val="auto"/>
          <w:sz w:val="24"/>
          <w:szCs w:val="24"/>
        </w:rPr>
        <w:t>作业前，作业单位应对起重机械、索具、吊具、安全装置等进行检查，确保处于完好状态。</w:t>
      </w:r>
    </w:p>
    <w:p>
      <w:pPr>
        <w:pStyle w:val="5"/>
        <w:numPr>
          <w:ilvl w:val="0"/>
          <w:numId w:val="8"/>
        </w:numPr>
        <w:spacing w:line="360" w:lineRule="auto"/>
        <w:rPr>
          <w:rFonts w:hint="eastAsia" w:ascii="宋体" w:hAnsi="宋体" w:cs="宋体"/>
          <w:color w:val="auto"/>
          <w:sz w:val="24"/>
          <w:szCs w:val="24"/>
        </w:rPr>
      </w:pPr>
      <w:r>
        <w:rPr>
          <w:rFonts w:hint="eastAsia" w:ascii="宋体" w:hAnsi="宋体" w:cs="宋体"/>
          <w:color w:val="auto"/>
          <w:sz w:val="24"/>
          <w:szCs w:val="24"/>
        </w:rPr>
        <w:t>应按规定负荷进行吊装，吊具、索具应经计算选择使用，不应超负荷吊装。</w:t>
      </w:r>
    </w:p>
    <w:p>
      <w:pPr>
        <w:pStyle w:val="5"/>
        <w:numPr>
          <w:ilvl w:val="0"/>
          <w:numId w:val="8"/>
        </w:numPr>
        <w:spacing w:line="360" w:lineRule="auto"/>
        <w:rPr>
          <w:rFonts w:hint="eastAsia" w:ascii="宋体" w:hAnsi="宋体" w:cs="宋体"/>
          <w:color w:val="auto"/>
          <w:sz w:val="24"/>
          <w:szCs w:val="24"/>
        </w:rPr>
      </w:pPr>
      <w:r>
        <w:rPr>
          <w:rFonts w:hint="eastAsia" w:ascii="宋体" w:hAnsi="宋体" w:cs="宋体"/>
          <w:color w:val="auto"/>
          <w:sz w:val="24"/>
          <w:szCs w:val="24"/>
        </w:rPr>
        <w:t>不应利用管道、管架、电杆、机电设备等作吊装锚点。</w:t>
      </w:r>
    </w:p>
    <w:p>
      <w:pPr>
        <w:pStyle w:val="5"/>
        <w:numPr>
          <w:ilvl w:val="0"/>
          <w:numId w:val="8"/>
        </w:numPr>
        <w:spacing w:line="360" w:lineRule="auto"/>
        <w:rPr>
          <w:rFonts w:hint="eastAsia" w:ascii="宋体" w:hAnsi="宋体" w:cs="宋体"/>
          <w:color w:val="auto"/>
          <w:sz w:val="24"/>
          <w:szCs w:val="24"/>
        </w:rPr>
      </w:pPr>
      <w:r>
        <w:rPr>
          <w:rFonts w:hint="eastAsia" w:ascii="宋体" w:hAnsi="宋体" w:cs="宋体"/>
          <w:color w:val="auto"/>
          <w:sz w:val="24"/>
          <w:szCs w:val="24"/>
        </w:rPr>
        <w:t>起吊前应进行试吊，试吊前检查全部机具、地锚受力情况，发现问题立即整改，确认正常后方可正式吊装。</w:t>
      </w:r>
    </w:p>
    <w:p>
      <w:pPr>
        <w:pStyle w:val="5"/>
        <w:numPr>
          <w:ilvl w:val="0"/>
          <w:numId w:val="8"/>
        </w:numPr>
        <w:spacing w:line="360" w:lineRule="auto"/>
        <w:rPr>
          <w:rFonts w:hint="eastAsia" w:ascii="宋体" w:hAnsi="宋体" w:cs="宋体"/>
          <w:color w:val="auto"/>
          <w:sz w:val="24"/>
          <w:szCs w:val="24"/>
        </w:rPr>
      </w:pPr>
      <w:r>
        <w:rPr>
          <w:rFonts w:hint="eastAsia" w:ascii="宋体" w:hAnsi="宋体" w:cs="宋体"/>
          <w:color w:val="auto"/>
          <w:sz w:val="24"/>
          <w:szCs w:val="24"/>
        </w:rPr>
        <w:t>指挥人员应佩戴明显的标志，并按联络信号进行指挥。起重机械操作人员、司索人员应遵守有关规定。</w:t>
      </w:r>
    </w:p>
    <w:p>
      <w:pPr>
        <w:pStyle w:val="5"/>
        <w:spacing w:line="360" w:lineRule="auto"/>
        <w:rPr>
          <w:rFonts w:hint="eastAsia" w:ascii="宋体" w:hAnsi="宋体" w:cs="宋体"/>
          <w:color w:val="auto"/>
          <w:sz w:val="24"/>
          <w:szCs w:val="24"/>
        </w:rPr>
      </w:pPr>
    </w:p>
    <w:p>
      <w:pPr>
        <w:pStyle w:val="5"/>
        <w:numPr>
          <w:ilvl w:val="0"/>
          <w:numId w:val="1"/>
        </w:numPr>
        <w:spacing w:line="360" w:lineRule="auto"/>
        <w:jc w:val="left"/>
        <w:outlineLvl w:val="0"/>
        <w:rPr>
          <w:rFonts w:hint="eastAsia" w:ascii="宋体" w:hAnsi="宋体" w:cs="宋体"/>
          <w:b/>
          <w:color w:val="auto"/>
          <w:sz w:val="24"/>
          <w:szCs w:val="24"/>
        </w:rPr>
      </w:pPr>
      <w:bookmarkStart w:id="11" w:name="_Toc21491_WPSOffice_Level1"/>
      <w:r>
        <w:rPr>
          <w:rFonts w:hint="eastAsia" w:ascii="宋体" w:hAnsi="宋体" w:cs="宋体"/>
          <w:b/>
          <w:color w:val="auto"/>
          <w:sz w:val="24"/>
          <w:szCs w:val="24"/>
        </w:rPr>
        <w:t>施工押金扣除标准</w:t>
      </w:r>
      <w:bookmarkEnd w:id="11"/>
    </w:p>
    <w:p>
      <w:pPr>
        <w:tabs>
          <w:tab w:val="center" w:pos="4932"/>
          <w:tab w:val="left" w:pos="7335"/>
        </w:tabs>
        <w:spacing w:line="360" w:lineRule="auto"/>
        <w:ind w:firstLine="480" w:firstLineChars="200"/>
        <w:jc w:val="left"/>
        <w:rPr>
          <w:rFonts w:hint="eastAsia" w:ascii="宋体" w:hAnsi="宋体" w:cs="宋体"/>
          <w:color w:val="auto"/>
          <w:sz w:val="24"/>
          <w:szCs w:val="24"/>
        </w:rPr>
      </w:pPr>
      <w:r>
        <w:rPr>
          <w:rFonts w:hint="eastAsia" w:ascii="宋体" w:hAnsi="宋体" w:cs="宋体"/>
          <w:color w:val="auto"/>
          <w:sz w:val="24"/>
          <w:szCs w:val="24"/>
        </w:rPr>
        <w:t>任何施工单位及个人违反关于《南通国际会展中心施工安全规定》的规定，拒不执行场馆方提出的安全管理要求的，南通国际会展中心有权并依照以下标准扣除部分或全部施工押金，对于严重违反本手册安全规定拒不服从劝阻的单位和个人，南通国际会展中心有权作出强制撤场的处理决定。</w:t>
      </w:r>
    </w:p>
    <w:p>
      <w:pPr>
        <w:numPr>
          <w:ilvl w:val="0"/>
          <w:numId w:val="9"/>
        </w:numPr>
        <w:spacing w:line="360" w:lineRule="auto"/>
        <w:ind w:left="0" w:firstLine="0"/>
        <w:rPr>
          <w:rFonts w:hint="eastAsia" w:ascii="宋体" w:hAnsi="宋体" w:cs="宋体"/>
          <w:color w:val="auto"/>
          <w:sz w:val="24"/>
          <w:szCs w:val="24"/>
        </w:rPr>
      </w:pPr>
      <w:r>
        <w:rPr>
          <w:rFonts w:hint="eastAsia" w:ascii="宋体" w:hAnsi="宋体" w:cs="宋体"/>
          <w:color w:val="auto"/>
          <w:sz w:val="24"/>
          <w:szCs w:val="24"/>
        </w:rPr>
        <w:t>施工单位未按照规定要求配备合格有效的灭火器的，违者扣除施工押金500元。</w:t>
      </w:r>
    </w:p>
    <w:p>
      <w:pPr>
        <w:numPr>
          <w:ilvl w:val="0"/>
          <w:numId w:val="9"/>
        </w:numPr>
        <w:spacing w:line="360" w:lineRule="auto"/>
        <w:ind w:left="0" w:firstLine="0"/>
        <w:rPr>
          <w:rFonts w:hint="eastAsia" w:ascii="宋体" w:hAnsi="宋体" w:cs="宋体"/>
          <w:color w:val="auto"/>
          <w:sz w:val="24"/>
          <w:szCs w:val="24"/>
        </w:rPr>
      </w:pPr>
      <w:r>
        <w:rPr>
          <w:rFonts w:hint="eastAsia" w:ascii="宋体" w:hAnsi="宋体" w:cs="宋体"/>
          <w:color w:val="auto"/>
          <w:sz w:val="24"/>
          <w:szCs w:val="24"/>
        </w:rPr>
        <w:t>施工人员进场作业未带安全帽且不听劝阻的，违者将扣除施工押金200元/人/次。</w:t>
      </w:r>
    </w:p>
    <w:p>
      <w:pPr>
        <w:numPr>
          <w:ilvl w:val="0"/>
          <w:numId w:val="9"/>
        </w:numPr>
        <w:spacing w:line="360" w:lineRule="auto"/>
        <w:rPr>
          <w:rFonts w:hint="eastAsia" w:ascii="宋体" w:hAnsi="宋体" w:cs="宋体"/>
          <w:color w:val="auto"/>
          <w:sz w:val="24"/>
          <w:szCs w:val="24"/>
        </w:rPr>
      </w:pPr>
      <w:r>
        <w:rPr>
          <w:rFonts w:hint="eastAsia" w:ascii="宋体" w:hAnsi="宋体" w:cs="宋体"/>
          <w:color w:val="auto"/>
          <w:sz w:val="24"/>
          <w:szCs w:val="24"/>
        </w:rPr>
        <w:t>施工人员登梯超过2</w:t>
      </w:r>
      <w:r>
        <w:rPr>
          <w:rFonts w:hint="eastAsia" w:ascii="宋体" w:hAnsi="宋体" w:cs="宋体"/>
          <w:color w:val="auto"/>
          <w:sz w:val="24"/>
          <w:szCs w:val="24"/>
          <w:lang w:val="en-US" w:eastAsia="zh-CN"/>
        </w:rPr>
        <w:t>m</w:t>
      </w:r>
      <w:r>
        <w:rPr>
          <w:rFonts w:hint="eastAsia" w:ascii="宋体" w:hAnsi="宋体" w:cs="宋体"/>
          <w:color w:val="auto"/>
          <w:sz w:val="24"/>
          <w:szCs w:val="24"/>
        </w:rPr>
        <w:t>（含）以上高处作业，梯下无人看守的，违者将扣除施工押金200元/人/次。</w:t>
      </w:r>
    </w:p>
    <w:p>
      <w:pPr>
        <w:numPr>
          <w:ilvl w:val="0"/>
          <w:numId w:val="9"/>
        </w:numPr>
        <w:spacing w:line="360" w:lineRule="auto"/>
        <w:rPr>
          <w:rFonts w:hint="eastAsia" w:ascii="宋体" w:hAnsi="宋体" w:cs="宋体"/>
          <w:color w:val="auto"/>
          <w:sz w:val="24"/>
          <w:szCs w:val="24"/>
        </w:rPr>
      </w:pPr>
      <w:r>
        <w:rPr>
          <w:rFonts w:hint="eastAsia" w:ascii="宋体" w:hAnsi="宋体" w:cs="宋体"/>
          <w:color w:val="auto"/>
          <w:sz w:val="24"/>
          <w:szCs w:val="24"/>
        </w:rPr>
        <w:t>施工单位高空作业人员无证操作，或由无证人员操作的，违者扣除施工押金2000元/人/次。</w:t>
      </w:r>
    </w:p>
    <w:p>
      <w:pPr>
        <w:numPr>
          <w:ilvl w:val="0"/>
          <w:numId w:val="9"/>
        </w:numPr>
        <w:spacing w:line="360" w:lineRule="auto"/>
        <w:rPr>
          <w:rFonts w:hint="eastAsia" w:ascii="宋体" w:hAnsi="宋体" w:cs="宋体"/>
          <w:color w:val="auto"/>
          <w:sz w:val="24"/>
          <w:szCs w:val="24"/>
        </w:rPr>
      </w:pPr>
      <w:r>
        <w:rPr>
          <w:rFonts w:hint="eastAsia" w:ascii="宋体" w:hAnsi="宋体" w:cs="宋体"/>
          <w:color w:val="auto"/>
          <w:sz w:val="24"/>
          <w:szCs w:val="24"/>
        </w:rPr>
        <w:t>施工单位搭建材料占用消防通道不听劝阻，违者扣除施工押金500元/处/次。</w:t>
      </w:r>
    </w:p>
    <w:p>
      <w:pPr>
        <w:numPr>
          <w:ilvl w:val="0"/>
          <w:numId w:val="9"/>
        </w:numPr>
        <w:spacing w:line="360" w:lineRule="auto"/>
        <w:rPr>
          <w:rFonts w:hint="eastAsia" w:ascii="宋体" w:hAnsi="宋体" w:cs="宋体"/>
          <w:color w:val="auto"/>
          <w:sz w:val="24"/>
          <w:szCs w:val="24"/>
        </w:rPr>
      </w:pPr>
      <w:r>
        <w:rPr>
          <w:rFonts w:hint="eastAsia" w:ascii="宋体" w:hAnsi="宋体" w:cs="宋体"/>
          <w:color w:val="auto"/>
          <w:sz w:val="24"/>
          <w:szCs w:val="24"/>
        </w:rPr>
        <w:t>施工单位展位电箱实际接驳的空开与申报规格不一致，拒不整改扣除施工押金2000元。</w:t>
      </w:r>
    </w:p>
    <w:p>
      <w:pPr>
        <w:numPr>
          <w:ilvl w:val="0"/>
          <w:numId w:val="9"/>
        </w:numPr>
        <w:spacing w:line="360" w:lineRule="auto"/>
        <w:rPr>
          <w:rFonts w:hint="eastAsia" w:ascii="宋体" w:hAnsi="宋体" w:cs="宋体"/>
          <w:color w:val="auto"/>
          <w:sz w:val="24"/>
          <w:szCs w:val="24"/>
        </w:rPr>
      </w:pPr>
      <w:r>
        <w:rPr>
          <w:rFonts w:hint="eastAsia" w:ascii="宋体" w:hAnsi="宋体" w:cs="宋体"/>
          <w:color w:val="auto"/>
          <w:sz w:val="24"/>
          <w:szCs w:val="24"/>
        </w:rPr>
        <w:t>施工单位应确保场馆电箱干净整洁，有涂料喷刷在电箱上，一次扣除200元/个。</w:t>
      </w:r>
    </w:p>
    <w:p>
      <w:pPr>
        <w:numPr>
          <w:ilvl w:val="0"/>
          <w:numId w:val="9"/>
        </w:numPr>
        <w:spacing w:line="360" w:lineRule="auto"/>
        <w:rPr>
          <w:rFonts w:hint="eastAsia" w:ascii="宋体" w:hAnsi="宋体" w:cs="宋体"/>
          <w:color w:val="auto"/>
          <w:sz w:val="24"/>
          <w:szCs w:val="24"/>
        </w:rPr>
      </w:pPr>
      <w:r>
        <w:rPr>
          <w:rFonts w:hint="eastAsia" w:ascii="宋体" w:hAnsi="宋体" w:cs="宋体"/>
          <w:color w:val="auto"/>
          <w:sz w:val="24"/>
          <w:szCs w:val="24"/>
        </w:rPr>
        <w:t>施工单位不得私自移位拆装场馆电箱，违者扣除施工押金2000元/处/次。</w:t>
      </w:r>
    </w:p>
    <w:p>
      <w:pPr>
        <w:numPr>
          <w:ilvl w:val="0"/>
          <w:numId w:val="9"/>
        </w:numPr>
        <w:spacing w:line="360" w:lineRule="auto"/>
        <w:rPr>
          <w:rFonts w:hint="eastAsia" w:ascii="宋体" w:hAnsi="宋体" w:cs="宋体"/>
          <w:color w:val="auto"/>
          <w:sz w:val="24"/>
          <w:szCs w:val="24"/>
        </w:rPr>
      </w:pPr>
      <w:r>
        <w:rPr>
          <w:rFonts w:hint="eastAsia" w:ascii="宋体" w:hAnsi="宋体" w:cs="宋体"/>
          <w:color w:val="auto"/>
          <w:sz w:val="24"/>
          <w:szCs w:val="24"/>
        </w:rPr>
        <w:t>施工单位违规使用酒精、稀料、易燃品的，违者扣除施工押金500元/处/次。</w:t>
      </w:r>
    </w:p>
    <w:p>
      <w:pPr>
        <w:numPr>
          <w:ilvl w:val="0"/>
          <w:numId w:val="9"/>
        </w:numPr>
        <w:spacing w:line="360" w:lineRule="auto"/>
        <w:rPr>
          <w:rFonts w:hint="eastAsia" w:ascii="宋体" w:hAnsi="宋体" w:cs="宋体"/>
          <w:color w:val="auto"/>
          <w:sz w:val="24"/>
          <w:szCs w:val="24"/>
        </w:rPr>
      </w:pPr>
      <w:r>
        <w:rPr>
          <w:rFonts w:hint="eastAsia" w:ascii="宋体" w:hAnsi="宋体" w:cs="宋体"/>
          <w:color w:val="auto"/>
          <w:sz w:val="24"/>
          <w:szCs w:val="24"/>
        </w:rPr>
        <w:t>施工单位违规使用砂轮机切割金属物品产生火花的，违者扣除施工押金500元/处/次。</w:t>
      </w:r>
    </w:p>
    <w:p>
      <w:pPr>
        <w:numPr>
          <w:ilvl w:val="0"/>
          <w:numId w:val="9"/>
        </w:numPr>
        <w:spacing w:line="360" w:lineRule="auto"/>
        <w:rPr>
          <w:rFonts w:hint="eastAsia" w:ascii="宋体" w:hAnsi="宋体" w:cs="宋体"/>
          <w:color w:val="auto"/>
          <w:sz w:val="24"/>
          <w:szCs w:val="24"/>
        </w:rPr>
      </w:pPr>
      <w:r>
        <w:rPr>
          <w:rFonts w:hint="eastAsia" w:ascii="宋体" w:hAnsi="宋体" w:cs="宋体"/>
          <w:color w:val="auto"/>
          <w:sz w:val="24"/>
          <w:szCs w:val="24"/>
        </w:rPr>
        <w:t>施工单位撤展期间违规野蛮拆卸，整体推到或拉倒展台的，违者扣除施工押金2000元/处/次。</w:t>
      </w:r>
    </w:p>
    <w:p>
      <w:pPr>
        <w:numPr>
          <w:ilvl w:val="0"/>
          <w:numId w:val="9"/>
        </w:numPr>
        <w:spacing w:line="360" w:lineRule="auto"/>
        <w:rPr>
          <w:rFonts w:hint="eastAsia" w:ascii="宋体" w:hAnsi="宋体" w:cs="宋体"/>
          <w:color w:val="auto"/>
          <w:sz w:val="24"/>
          <w:szCs w:val="24"/>
        </w:rPr>
      </w:pPr>
      <w:r>
        <w:rPr>
          <w:rFonts w:hint="eastAsia" w:ascii="宋体" w:hAnsi="宋体" w:cs="宋体"/>
          <w:color w:val="auto"/>
          <w:sz w:val="24"/>
          <w:szCs w:val="24"/>
        </w:rPr>
        <w:t>施工单位不得将展台结构、装饰材料等废弃物遗留在馆内、后货场及场馆周围的，违者视情况扣除相应施工押金。</w:t>
      </w:r>
    </w:p>
    <w:p>
      <w:pPr>
        <w:numPr>
          <w:ilvl w:val="0"/>
          <w:numId w:val="9"/>
        </w:numPr>
        <w:spacing w:line="360" w:lineRule="auto"/>
        <w:rPr>
          <w:rFonts w:hint="eastAsia" w:ascii="宋体" w:hAnsi="宋体" w:cs="宋体"/>
          <w:color w:val="auto"/>
          <w:sz w:val="24"/>
          <w:szCs w:val="24"/>
        </w:rPr>
      </w:pPr>
      <w:r>
        <w:rPr>
          <w:rFonts w:hint="eastAsia" w:ascii="宋体" w:hAnsi="宋体" w:cs="宋体"/>
          <w:color w:val="auto"/>
          <w:sz w:val="24"/>
          <w:szCs w:val="24"/>
        </w:rPr>
        <w:t>施工期间，施工单位不听场馆劝阻，导致展台、门头、背板等结构倒塌，将扣除全部施工押金。</w:t>
      </w:r>
    </w:p>
    <w:p>
      <w:pPr>
        <w:numPr>
          <w:ilvl w:val="0"/>
          <w:numId w:val="9"/>
        </w:numPr>
        <w:spacing w:line="360" w:lineRule="auto"/>
        <w:rPr>
          <w:rFonts w:hint="eastAsia" w:ascii="宋体" w:hAnsi="宋体" w:cs="宋体"/>
          <w:color w:val="auto"/>
          <w:sz w:val="24"/>
          <w:szCs w:val="24"/>
        </w:rPr>
      </w:pPr>
      <w:r>
        <w:rPr>
          <w:rFonts w:hint="eastAsia" w:ascii="宋体" w:hAnsi="宋体" w:cs="宋体"/>
          <w:color w:val="auto"/>
          <w:sz w:val="24"/>
          <w:szCs w:val="24"/>
        </w:rPr>
        <w:t>施工单位违反本手册规定造成任何一方财产损失的，违者扣除施工押金10000元/次，并按照人身及财产损失情况扣除财产损失赔偿金。</w:t>
      </w:r>
    </w:p>
    <w:p>
      <w:pPr>
        <w:numPr>
          <w:ilvl w:val="0"/>
          <w:numId w:val="9"/>
        </w:numPr>
        <w:spacing w:line="360" w:lineRule="auto"/>
        <w:rPr>
          <w:rFonts w:hint="eastAsia" w:ascii="宋体" w:hAnsi="宋体" w:cs="宋体"/>
          <w:color w:val="auto"/>
          <w:sz w:val="24"/>
          <w:szCs w:val="24"/>
        </w:rPr>
      </w:pPr>
      <w:r>
        <w:rPr>
          <w:rFonts w:hint="eastAsia" w:ascii="宋体" w:hAnsi="宋体" w:cs="宋体"/>
          <w:color w:val="auto"/>
          <w:sz w:val="24"/>
          <w:szCs w:val="24"/>
        </w:rPr>
        <w:t>施工单位违反本手册规定造成任何一方人身伤亡的，违者扣除全部施工押金并按照相关法律法规追究违规者的法律责任。</w:t>
      </w:r>
    </w:p>
    <w:p>
      <w:pPr>
        <w:pStyle w:val="2"/>
        <w:tabs>
          <w:tab w:val="left" w:pos="900"/>
          <w:tab w:val="left" w:pos="1260"/>
        </w:tabs>
        <w:spacing w:line="360" w:lineRule="auto"/>
        <w:ind w:firstLine="480" w:firstLineChars="200"/>
        <w:rPr>
          <w:rFonts w:hint="eastAsia" w:ascii="宋体" w:hAnsi="宋体" w:cs="宋体"/>
          <w:color w:val="auto"/>
          <w:sz w:val="24"/>
        </w:rPr>
      </w:pPr>
      <w:r>
        <w:rPr>
          <w:rFonts w:hint="eastAsia" w:ascii="宋体" w:hAnsi="宋体" w:cs="宋体"/>
          <w:color w:val="auto"/>
          <w:sz w:val="24"/>
        </w:rPr>
        <w:t>施工单位在进馆施工、撤馆以及运输过程中因违反上述规定，所造成的人员伤亡、火灾及场馆建筑物设施损坏等一切安全责任事故，由施工单位负全部责任，并承担由此给南通国际会展中心造成的所有的名誉及经济损失。</w:t>
      </w:r>
    </w:p>
    <w:p>
      <w:pPr>
        <w:pStyle w:val="2"/>
        <w:tabs>
          <w:tab w:val="left" w:pos="900"/>
          <w:tab w:val="left" w:pos="1260"/>
        </w:tabs>
        <w:spacing w:line="360" w:lineRule="auto"/>
        <w:ind w:firstLine="480" w:firstLineChars="200"/>
        <w:rPr>
          <w:rFonts w:hint="eastAsia" w:ascii="宋体" w:hAnsi="宋体" w:cs="宋体"/>
          <w:color w:val="auto"/>
          <w:sz w:val="24"/>
        </w:rPr>
      </w:pPr>
      <w:r>
        <w:rPr>
          <w:rFonts w:hint="eastAsia" w:ascii="宋体" w:hAnsi="宋体" w:cs="宋体"/>
          <w:color w:val="auto"/>
          <w:sz w:val="24"/>
        </w:rPr>
        <w:t>施工单位应严格按照上述要求及相关规章制度进行施工，若有违反，则南通国际会展中心将视情节轻重扣除相应施工押金。</w:t>
      </w:r>
    </w:p>
    <w:p>
      <w:pPr>
        <w:pStyle w:val="5"/>
        <w:spacing w:line="360" w:lineRule="auto"/>
        <w:rPr>
          <w:rFonts w:hint="eastAsia" w:ascii="宋体" w:hAnsi="宋体" w:cs="宋体"/>
          <w:color w:val="auto"/>
          <w:sz w:val="24"/>
          <w:szCs w:val="24"/>
        </w:rPr>
      </w:pPr>
      <w:r>
        <w:rPr>
          <w:rFonts w:hint="eastAsia" w:ascii="宋体" w:hAnsi="宋体" w:cs="宋体"/>
          <w:color w:val="auto"/>
          <w:sz w:val="24"/>
          <w:szCs w:val="24"/>
        </w:rPr>
        <w:t>注：</w:t>
      </w:r>
      <w:r>
        <w:rPr>
          <w:rFonts w:hint="eastAsia" w:ascii="宋体" w:hAnsi="宋体" w:cs="宋体"/>
          <w:b/>
          <w:color w:val="auto"/>
          <w:sz w:val="24"/>
          <w:szCs w:val="24"/>
        </w:rPr>
        <w:t>1</w:t>
      </w:r>
      <w:r>
        <w:rPr>
          <w:rFonts w:hint="eastAsia" w:ascii="宋体" w:hAnsi="宋体" w:cs="宋体"/>
          <w:color w:val="auto"/>
          <w:sz w:val="24"/>
          <w:szCs w:val="24"/>
        </w:rPr>
        <w:t>.本协议未规定事项须按照国家及南通市有关法律、规范、规定执行。</w:t>
      </w:r>
    </w:p>
    <w:p>
      <w:pPr>
        <w:pStyle w:val="5"/>
        <w:spacing w:line="360" w:lineRule="auto"/>
        <w:ind w:firstLine="482" w:firstLineChars="200"/>
        <w:rPr>
          <w:rFonts w:hint="eastAsia" w:ascii="宋体" w:hAnsi="宋体" w:cs="宋体"/>
          <w:color w:val="auto"/>
          <w:sz w:val="24"/>
          <w:szCs w:val="24"/>
        </w:rPr>
      </w:pPr>
      <w:r>
        <w:rPr>
          <w:rFonts w:hint="eastAsia" w:ascii="宋体" w:hAnsi="宋体" w:cs="宋体"/>
          <w:b/>
          <w:color w:val="auto"/>
          <w:sz w:val="24"/>
          <w:szCs w:val="24"/>
        </w:rPr>
        <w:t>2.</w:t>
      </w:r>
      <w:r>
        <w:rPr>
          <w:rFonts w:hint="eastAsia" w:ascii="宋体" w:hAnsi="宋体" w:cs="宋体"/>
          <w:color w:val="auto"/>
          <w:sz w:val="24"/>
          <w:szCs w:val="24"/>
        </w:rPr>
        <w:t>遇现场公安、消防、安监等监管部门提出的安全要求，须严格遵照整改。</w:t>
      </w:r>
    </w:p>
    <w:p>
      <w:pPr>
        <w:pStyle w:val="2"/>
        <w:tabs>
          <w:tab w:val="left" w:pos="900"/>
          <w:tab w:val="left" w:pos="1260"/>
        </w:tabs>
        <w:spacing w:line="360" w:lineRule="auto"/>
        <w:ind w:firstLine="480" w:firstLineChars="200"/>
        <w:rPr>
          <w:rFonts w:hint="eastAsia" w:ascii="宋体" w:hAnsi="宋体" w:cs="宋体"/>
          <w:color w:val="auto"/>
          <w:sz w:val="24"/>
        </w:rPr>
      </w:pPr>
      <w:r>
        <w:rPr>
          <w:rFonts w:hint="eastAsia" w:ascii="宋体" w:hAnsi="宋体" w:cs="宋体"/>
          <w:color w:val="auto"/>
          <w:sz w:val="24"/>
        </w:rPr>
        <w:t>施工服务部保留对特殊情况实行特别限制的权利。</w:t>
      </w:r>
    </w:p>
    <w:p>
      <w:pPr>
        <w:pStyle w:val="2"/>
        <w:tabs>
          <w:tab w:val="left" w:pos="900"/>
          <w:tab w:val="left" w:pos="1260"/>
        </w:tabs>
        <w:spacing w:line="360" w:lineRule="auto"/>
        <w:ind w:firstLine="480" w:firstLineChars="200"/>
        <w:rPr>
          <w:rFonts w:hint="eastAsia" w:ascii="宋体" w:hAnsi="宋体" w:cs="宋体"/>
          <w:color w:val="auto"/>
          <w:sz w:val="24"/>
        </w:rPr>
      </w:pPr>
      <w:r>
        <w:rPr>
          <w:rFonts w:hint="eastAsia" w:ascii="宋体" w:hAnsi="宋体" w:cs="宋体"/>
          <w:color w:val="auto"/>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175260</wp:posOffset>
                </wp:positionV>
                <wp:extent cx="5143500" cy="635"/>
                <wp:effectExtent l="0" t="0" r="0" b="0"/>
                <wp:wrapNone/>
                <wp:docPr id="3" name="直接连接符 3"/>
                <wp:cNvGraphicFramePr/>
                <a:graphic xmlns:a="http://schemas.openxmlformats.org/drawingml/2006/main">
                  <a:graphicData uri="http://schemas.microsoft.com/office/word/2010/wordprocessingShape">
                    <wps:wsp>
                      <wps:cNvSpPr/>
                      <wps:spPr>
                        <a:xfrm>
                          <a:off x="0" y="0"/>
                          <a:ext cx="5143500" cy="635"/>
                        </a:xfrm>
                        <a:prstGeom prst="line">
                          <a:avLst/>
                        </a:prstGeom>
                        <a:ln w="9525">
                          <a:noFill/>
                        </a:ln>
                      </wps:spPr>
                      <wps:bodyPr upright="1"/>
                    </wps:wsp>
                  </a:graphicData>
                </a:graphic>
              </wp:anchor>
            </w:drawing>
          </mc:Choice>
          <mc:Fallback>
            <w:pict>
              <v:line id="_x0000_s1026" o:spid="_x0000_s1026" o:spt="20" style="position:absolute;left:0pt;margin-left:0pt;margin-top:13.8pt;height:0.05pt;width:405pt;z-index:251658240;mso-width-relative:page;mso-height-relative:page;" stroked="f" coordsize="21600,21600" o:gfxdata="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czPpENUAAAAGAQAADwAAAAAAAAABACAAAAAiAAAAZHJzL2Rvd25yZXYu&#10;eG1sUEsBAhQAFAAAAAgAh07iQASZo+WMAQAA7AIAAA4AAAAAAAAAAQAgAAAAJAEAAGRycy9lMm9E&#10;b2MueG1sUEsFBgAAAAAGAAYAWQEAACIFAAAAAA==&#10;">
                <v:path arrowok="t"/>
                <v:fill focussize="0,0"/>
                <v:stroke on="f"/>
                <v:imagedata o:title=""/>
                <o:lock v:ext="edit"/>
              </v:line>
            </w:pict>
          </mc:Fallback>
        </mc:AlternateContent>
      </w:r>
      <w:r>
        <w:rPr>
          <w:rFonts w:hint="eastAsia" w:ascii="宋体" w:hAnsi="宋体" w:cs="宋体"/>
          <w:color w:val="auto"/>
          <w:sz w:val="24"/>
        </w:rPr>
        <w:t>本活动施工单位的法人委托授权人已仔细阅读此施工搭建安全责任书及上述提及的相关规章制度，并保证严格遵守相关安全管理规定，否则，一旦出现安全问题本公司愿承担全部法律责任。</w:t>
      </w:r>
    </w:p>
    <w:p>
      <w:pPr>
        <w:pStyle w:val="2"/>
        <w:tabs>
          <w:tab w:val="left" w:pos="900"/>
          <w:tab w:val="left" w:pos="1260"/>
        </w:tabs>
        <w:spacing w:line="360" w:lineRule="auto"/>
        <w:ind w:firstLine="480" w:firstLineChars="200"/>
        <w:rPr>
          <w:rFonts w:hint="eastAsia" w:ascii="宋体" w:hAnsi="宋体"/>
          <w:color w:val="auto"/>
          <w:sz w:val="24"/>
        </w:rPr>
      </w:pPr>
    </w:p>
    <w:p>
      <w:pPr>
        <w:pStyle w:val="2"/>
        <w:tabs>
          <w:tab w:val="left" w:pos="900"/>
          <w:tab w:val="left" w:pos="1260"/>
        </w:tabs>
        <w:spacing w:line="360" w:lineRule="auto"/>
        <w:ind w:firstLine="480" w:firstLineChars="200"/>
        <w:rPr>
          <w:rFonts w:hint="eastAsia" w:ascii="宋体" w:hAnsi="宋体"/>
          <w:color w:val="auto"/>
          <w:sz w:val="24"/>
        </w:rPr>
      </w:pPr>
    </w:p>
    <w:p>
      <w:pPr>
        <w:spacing w:line="600" w:lineRule="auto"/>
        <w:ind w:firstLine="480" w:firstLineChars="200"/>
        <w:rPr>
          <w:rFonts w:ascii="宋体" w:hAnsi="宋体"/>
          <w:color w:val="auto"/>
          <w:sz w:val="24"/>
          <w:szCs w:val="28"/>
        </w:rPr>
      </w:pPr>
      <w:r>
        <w:rPr>
          <w:rFonts w:hint="eastAsia" w:ascii="宋体" w:hAnsi="宋体"/>
          <w:color w:val="auto"/>
          <w:sz w:val="24"/>
          <w:szCs w:val="28"/>
        </w:rPr>
        <w:t xml:space="preserve">南通国际会展中心                   主场或施工单位公章： </w:t>
      </w:r>
    </w:p>
    <w:p>
      <w:pPr>
        <w:spacing w:line="600" w:lineRule="auto"/>
        <w:ind w:firstLine="480" w:firstLineChars="200"/>
        <w:rPr>
          <w:rFonts w:hint="eastAsia" w:ascii="宋体" w:hAnsi="宋体"/>
          <w:color w:val="auto"/>
          <w:sz w:val="24"/>
          <w:szCs w:val="28"/>
        </w:rPr>
      </w:pPr>
      <w:r>
        <w:rPr>
          <w:rFonts w:hint="eastAsia" w:ascii="宋体" w:hAnsi="宋体"/>
          <w:color w:val="auto"/>
          <w:sz w:val="24"/>
          <w:szCs w:val="28"/>
        </w:rPr>
        <w:t xml:space="preserve">施工服务部                         公司法人委托授权人签字：    </w:t>
      </w:r>
    </w:p>
    <w:p>
      <w:pPr>
        <w:spacing w:line="600" w:lineRule="auto"/>
        <w:ind w:firstLine="720" w:firstLineChars="300"/>
        <w:rPr>
          <w:rFonts w:hint="eastAsia" w:ascii="宋体" w:hAnsi="宋体"/>
          <w:color w:val="auto"/>
          <w:sz w:val="24"/>
          <w:szCs w:val="28"/>
        </w:rPr>
      </w:pPr>
      <w:r>
        <w:rPr>
          <w:rFonts w:hint="eastAsia" w:ascii="宋体" w:hAnsi="宋体"/>
          <w:color w:val="auto"/>
          <w:sz w:val="24"/>
          <w:szCs w:val="28"/>
        </w:rPr>
        <w:t xml:space="preserve">                                 联系电话：</w:t>
      </w:r>
    </w:p>
    <w:p>
      <w:pPr>
        <w:spacing w:line="600" w:lineRule="auto"/>
        <w:ind w:firstLine="720" w:firstLineChars="300"/>
        <w:rPr>
          <w:rFonts w:hint="eastAsia"/>
          <w:b/>
          <w:color w:val="auto"/>
          <w:sz w:val="24"/>
        </w:rPr>
      </w:pPr>
      <w:r>
        <w:rPr>
          <w:rFonts w:hint="eastAsia" w:ascii="宋体" w:hAnsi="宋体"/>
          <w:color w:val="auto"/>
          <w:sz w:val="24"/>
          <w:szCs w:val="28"/>
        </w:rPr>
        <w:t xml:space="preserve">                               年      月     日</w:t>
      </w:r>
      <w:bookmarkEnd w:id="2"/>
      <w:bookmarkStart w:id="12" w:name="_Toc419881019"/>
      <w:r>
        <w:rPr>
          <w:rFonts w:hint="eastAsia"/>
          <w:b/>
          <w:color w:val="auto"/>
          <w:sz w:val="24"/>
        </w:rPr>
        <w:t xml:space="preserve">        </w:t>
      </w:r>
      <w:bookmarkEnd w:id="12"/>
      <w:bookmarkStart w:id="13" w:name="_Toc419881020"/>
      <w:r>
        <w:rPr>
          <w:rFonts w:hint="eastAsia"/>
          <w:b/>
          <w:color w:val="auto"/>
          <w:sz w:val="24"/>
        </w:rPr>
        <w:t xml:space="preserve">  </w:t>
      </w:r>
    </w:p>
    <w:p>
      <w:pPr>
        <w:spacing w:line="360" w:lineRule="auto"/>
        <w:ind w:firstLine="723" w:firstLineChars="300"/>
        <w:rPr>
          <w:rFonts w:hint="eastAsia"/>
          <w:b/>
          <w:color w:val="auto"/>
          <w:sz w:val="24"/>
        </w:rPr>
      </w:pPr>
    </w:p>
    <w:p>
      <w:pPr>
        <w:spacing w:line="360" w:lineRule="auto"/>
        <w:ind w:firstLine="723" w:firstLineChars="300"/>
        <w:rPr>
          <w:rFonts w:hint="eastAsia"/>
          <w:b/>
          <w:color w:val="auto"/>
          <w:sz w:val="24"/>
        </w:rPr>
      </w:pPr>
    </w:p>
    <w:p>
      <w:pPr>
        <w:spacing w:line="360" w:lineRule="auto"/>
        <w:ind w:firstLine="723" w:firstLineChars="300"/>
        <w:rPr>
          <w:rFonts w:hint="eastAsia"/>
          <w:b/>
          <w:color w:val="auto"/>
          <w:sz w:val="24"/>
        </w:rPr>
      </w:pPr>
    </w:p>
    <w:p>
      <w:pPr>
        <w:spacing w:line="360" w:lineRule="auto"/>
        <w:ind w:firstLine="723" w:firstLineChars="300"/>
        <w:rPr>
          <w:rFonts w:hint="eastAsia"/>
          <w:b/>
          <w:color w:val="auto"/>
          <w:sz w:val="24"/>
        </w:rPr>
      </w:pPr>
    </w:p>
    <w:bookmarkEnd w:id="13"/>
    <w:p>
      <w:pPr>
        <w:spacing w:line="276" w:lineRule="auto"/>
        <w:ind w:right="-540" w:rightChars="-257"/>
        <w:rPr>
          <w:rFonts w:hint="eastAsia" w:ascii="宋体" w:hAnsi="宋体"/>
          <w:color w:val="auto"/>
          <w:sz w:val="24"/>
          <w:szCs w:val="28"/>
        </w:rPr>
      </w:pPr>
    </w:p>
    <w:p>
      <w:pPr>
        <w:spacing w:line="276" w:lineRule="auto"/>
        <w:ind w:right="-540" w:rightChars="-257"/>
        <w:rPr>
          <w:rFonts w:hint="eastAsia" w:ascii="宋体" w:hAnsi="宋体"/>
          <w:color w:val="auto"/>
          <w:sz w:val="24"/>
          <w:szCs w:val="28"/>
        </w:rPr>
      </w:pPr>
    </w:p>
    <w:p>
      <w:pPr>
        <w:spacing w:line="276" w:lineRule="auto"/>
        <w:ind w:right="-540" w:rightChars="-257"/>
        <w:rPr>
          <w:rFonts w:hint="eastAsia" w:ascii="宋体" w:hAnsi="宋体"/>
          <w:color w:val="auto"/>
          <w:sz w:val="24"/>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C05"/>
    <w:multiLevelType w:val="multilevel"/>
    <w:tmpl w:val="08402C05"/>
    <w:lvl w:ilvl="0" w:tentative="0">
      <w:start w:val="1"/>
      <w:numFmt w:val="decimal"/>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610FBF"/>
    <w:multiLevelType w:val="multilevel"/>
    <w:tmpl w:val="0C610FBF"/>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D7D254D"/>
    <w:multiLevelType w:val="multilevel"/>
    <w:tmpl w:val="0D7D254D"/>
    <w:lvl w:ilvl="0" w:tentative="0">
      <w:start w:val="1"/>
      <w:numFmt w:val="decimal"/>
      <w:lvlText w:val="%1."/>
      <w:lvlJc w:val="left"/>
      <w:pPr>
        <w:ind w:left="420" w:hanging="420"/>
      </w:pPr>
      <w:rPr>
        <w:rFonts w:ascii="宋体" w:hAnsi="宋体" w:eastAsia="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BE72B88"/>
    <w:multiLevelType w:val="multilevel"/>
    <w:tmpl w:val="1BE72B88"/>
    <w:lvl w:ilvl="0" w:tentative="0">
      <w:start w:val="1"/>
      <w:numFmt w:val="decimal"/>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853086F"/>
    <w:multiLevelType w:val="multilevel"/>
    <w:tmpl w:val="3853086F"/>
    <w:lvl w:ilvl="0" w:tentative="0">
      <w:start w:val="1"/>
      <w:numFmt w:val="decimal"/>
      <w:lvlText w:val="%1."/>
      <w:lvlJc w:val="left"/>
      <w:pPr>
        <w:ind w:left="420" w:hanging="420"/>
      </w:pPr>
      <w:rPr>
        <w:rFonts w:ascii="宋体" w:hAnsi="宋体" w:eastAsia="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948188B"/>
    <w:multiLevelType w:val="multilevel"/>
    <w:tmpl w:val="4948188B"/>
    <w:lvl w:ilvl="0" w:tentative="0">
      <w:start w:val="1"/>
      <w:numFmt w:val="decimal"/>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67A3D6C"/>
    <w:multiLevelType w:val="multilevel"/>
    <w:tmpl w:val="567A3D6C"/>
    <w:lvl w:ilvl="0" w:tentative="0">
      <w:start w:val="1"/>
      <w:numFmt w:val="decimal"/>
      <w:lvlText w:val="%1."/>
      <w:lvlJc w:val="left"/>
      <w:pPr>
        <w:ind w:left="420" w:hanging="420"/>
      </w:pPr>
      <w:rPr>
        <w:rFonts w:ascii="宋体" w:hAnsi="宋体" w:eastAsia="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972613"/>
    <w:multiLevelType w:val="multilevel"/>
    <w:tmpl w:val="70972613"/>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2725492"/>
    <w:multiLevelType w:val="multilevel"/>
    <w:tmpl w:val="72725492"/>
    <w:lvl w:ilvl="0" w:tentative="0">
      <w:start w:val="1"/>
      <w:numFmt w:val="decimal"/>
      <w:lvlText w:val="%1."/>
      <w:lvlJc w:val="left"/>
      <w:pPr>
        <w:ind w:left="420" w:hanging="420"/>
      </w:pPr>
      <w:rPr>
        <w:rFonts w:ascii="宋体" w:hAnsi="宋体" w:eastAsia="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1"/>
  </w:num>
  <w:num w:numId="3">
    <w:abstractNumId w:val="3"/>
  </w:num>
  <w:num w:numId="4">
    <w:abstractNumId w:val="2"/>
  </w:num>
  <w:num w:numId="5">
    <w:abstractNumId w:val="0"/>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A1882"/>
    <w:rsid w:val="4A5A1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Times New Roman" w:hAnsi="Times New Roman" w:cs="Times New Roman"/>
      <w:sz w:val="28"/>
      <w:szCs w:val="24"/>
    </w:rPr>
  </w:style>
  <w:style w:type="paragraph" w:customStyle="1" w:styleId="5">
    <w:name w:val="无间隔1"/>
    <w:qFormat/>
    <w:uiPriority w:val="1"/>
    <w:pPr>
      <w:widowControl w:val="0"/>
      <w:jc w:val="both"/>
    </w:pPr>
    <w:rPr>
      <w:rFonts w:ascii="Calibri" w:hAnsi="Calibri" w:eastAsia="宋体" w:cs="黑体"/>
      <w:kern w:val="2"/>
      <w:sz w:val="21"/>
      <w:szCs w:val="22"/>
      <w:lang w:val="en-US" w:eastAsia="zh-CN" w:bidi="ar-SA"/>
    </w:rPr>
  </w:style>
  <w:style w:type="paragraph" w:styleId="6">
    <w:name w:val="List Paragraph"/>
    <w:basedOn w:val="1"/>
    <w:qFormat/>
    <w:uiPriority w:val="34"/>
    <w:pPr>
      <w:ind w:firstLine="420" w:firstLineChars="200"/>
    </w:pPr>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2019-09-17T01:26:00Z</dcterms:created>
  <dc:creator>Lily</dc:creator>
  <cp:lastModifiedBy>Lily</cp:lastModifiedBy>
  <dcterms:modified xsi:type="dcterms:W3CDTF">2019-09-17T01:26:56Z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